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11.jpeg" ContentType="image/jpeg"/>
  <Override PartName="/word/media/image14.png" ContentType="image/png"/>
  <Override PartName="/word/media/image4.png" ContentType="image/png"/>
  <Override PartName="/word/media/image15.jpeg" ContentType="image/jpeg"/>
  <Override PartName="/word/media/image1.jpeg" ContentType="image/jpeg"/>
  <Override PartName="/word/media/image8.jpeg" ContentType="image/jpeg"/>
  <Override PartName="/word/media/image13.png" ContentType="image/png"/>
  <Override PartName="/word/media/image5.jpeg" ContentType="image/jpeg"/>
  <Override PartName="/word/media/image3.png" ContentType="image/png"/>
  <Override PartName="/word/media/image12.png" ContentType="image/png"/>
  <Override PartName="/word/media/image9.jpeg" ContentType="image/jpeg"/>
  <Override PartName="/word/media/image2.png" ContentType="image/png"/>
  <Override PartName="/word/media/image6.png" ContentType="image/png"/>
  <Override PartName="/word/media/image10.jpeg" ContentType="image/jpeg"/>
  <Override PartName="/word/media/image7.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after="283" w:before="0" w:line="200" w:lineRule="atLeast"/>
        <w:ind w:firstLine="567" w:left="0" w:right="0"/>
        <w:jc w:val="center"/>
      </w:pPr>
      <w:r>
        <w:rPr/>
      </w:r>
    </w:p>
    <w:p>
      <w:pPr>
        <w:pStyle w:val="style0"/>
        <w:spacing w:after="283" w:before="0" w:line="200" w:lineRule="atLeast"/>
        <w:ind w:firstLine="567" w:left="0" w:right="0"/>
      </w:pPr>
      <w:r>
        <w:rPr/>
      </w:r>
    </w:p>
    <w:p>
      <w:pPr>
        <w:pStyle w:val="style0"/>
        <w:spacing w:after="283" w:before="0" w:line="200" w:lineRule="atLeast"/>
        <w:ind w:firstLine="567" w:left="0" w:right="0"/>
        <w:jc w:val="center"/>
      </w:pPr>
      <w:r>
        <w:rPr>
          <w:rFonts w:ascii="DejaVu Sans" w:hAnsi="DejaVu Sans"/>
          <w:sz w:val="28"/>
          <w:szCs w:val="28"/>
        </w:rPr>
        <w:t>Rapport d’évaluation du littoral et de la qualité de l’eau (2012)</w:t>
      </w:r>
    </w:p>
    <w:p>
      <w:pPr>
        <w:pStyle w:val="style0"/>
        <w:spacing w:after="283" w:before="0" w:line="200" w:lineRule="atLeast"/>
        <w:ind w:firstLine="567" w:left="0" w:right="0"/>
        <w:jc w:val="center"/>
      </w:pPr>
      <w:r>
        <w:rPr>
          <w:rFonts w:ascii="DejaVu Sans" w:hAnsi="DejaVu Sans"/>
          <w:sz w:val="28"/>
          <w:szCs w:val="28"/>
        </w:rPr>
        <w:t>Lac Bernard, Québec, Canada</w:t>
      </w:r>
    </w:p>
    <w:p>
      <w:pPr>
        <w:pStyle w:val="style0"/>
        <w:spacing w:after="283" w:before="0" w:line="200" w:lineRule="atLeast"/>
        <w:ind w:firstLine="567" w:left="-720" w:right="0"/>
        <w:jc w:val="center"/>
      </w:pPr>
      <w:r>
        <w:rPr>
          <w:rFonts w:ascii="DejaVu Sans" w:hAnsi="DejaVu Sans"/>
        </w:rPr>
        <w:t xml:space="preserve"> </w:t>
      </w:r>
    </w:p>
    <w:p>
      <w:pPr>
        <w:pStyle w:val="style0"/>
        <w:spacing w:after="283" w:before="0" w:line="200" w:lineRule="atLeast"/>
        <w:ind w:firstLine="567" w:left="-720" w:right="0"/>
        <w:jc w:val="center"/>
      </w:pPr>
      <w:r>
        <w:rPr/>
        <w:drawing>
          <wp:inline distB="0" distL="0" distR="0" distT="0">
            <wp:extent cx="5943600" cy="37992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5943600" cy="3799205"/>
                    </a:xfrm>
                    <a:prstGeom prst="rect">
                      <a:avLst/>
                    </a:prstGeom>
                    <a:noFill/>
                    <a:ln w="9525">
                      <a:noFill/>
                      <a:miter lim="800000"/>
                      <a:headEnd/>
                      <a:tailEnd/>
                    </a:ln>
                  </pic:spPr>
                </pic:pic>
              </a:graphicData>
            </a:graphic>
          </wp:inline>
        </w:drawing>
      </w:r>
    </w:p>
    <w:p>
      <w:pPr>
        <w:pStyle w:val="style0"/>
        <w:spacing w:after="283" w:before="0" w:line="200" w:lineRule="atLeast"/>
        <w:ind w:firstLine="567" w:left="-720" w:right="0"/>
        <w:jc w:val="center"/>
      </w:pPr>
      <w:r>
        <w:rPr/>
      </w:r>
    </w:p>
    <w:p>
      <w:pPr>
        <w:pStyle w:val="style0"/>
        <w:spacing w:after="283" w:before="0" w:line="200" w:lineRule="atLeast"/>
        <w:ind w:firstLine="567" w:left="-720" w:right="0"/>
        <w:jc w:val="center"/>
      </w:pPr>
      <w:r>
        <w:rPr>
          <w:rFonts w:ascii="DejaVu Sans" w:hAnsi="DejaVu Sans"/>
          <w:sz w:val="20"/>
          <w:szCs w:val="20"/>
        </w:rPr>
        <w:t>Association des propriétaires et résidents du lac Bernard</w:t>
      </w:r>
    </w:p>
    <w:p>
      <w:pPr>
        <w:pStyle w:val="style0"/>
        <w:spacing w:after="283" w:before="0" w:line="200" w:lineRule="atLeast"/>
        <w:ind w:firstLine="567" w:left="-720" w:right="0"/>
        <w:jc w:val="center"/>
      </w:pPr>
      <w:r>
        <w:rPr>
          <w:rFonts w:ascii="DejaVu Sans" w:hAnsi="DejaVu Sans"/>
          <w:sz w:val="20"/>
          <w:szCs w:val="20"/>
        </w:rPr>
        <w:t>Christine McClelland</w:t>
      </w:r>
    </w:p>
    <w:p>
      <w:pPr>
        <w:pStyle w:val="style0"/>
        <w:spacing w:after="283" w:before="0" w:line="200" w:lineRule="atLeast"/>
        <w:ind w:firstLine="567" w:left="-720" w:right="0"/>
        <w:jc w:val="center"/>
      </w:pPr>
      <w:r>
        <w:rPr>
          <w:rFonts w:ascii="DejaVu Sans" w:hAnsi="DejaVu Sans"/>
          <w:sz w:val="20"/>
          <w:szCs w:val="20"/>
        </w:rPr>
        <w:t>1</w:t>
      </w:r>
      <w:r>
        <w:rPr>
          <w:rFonts w:ascii="DejaVu Sans" w:hAnsi="DejaVu Sans"/>
          <w:sz w:val="20"/>
          <w:szCs w:val="20"/>
          <w:vertAlign w:val="superscript"/>
        </w:rPr>
        <w:t>er</w:t>
      </w:r>
      <w:r>
        <w:rPr>
          <w:rFonts w:ascii="DejaVu Sans" w:hAnsi="DejaVu Sans"/>
          <w:sz w:val="20"/>
          <w:szCs w:val="20"/>
        </w:rPr>
        <w:t xml:space="preserve">  septembre 2012</w:t>
      </w:r>
    </w:p>
    <w:p>
      <w:pPr>
        <w:pStyle w:val="style0"/>
        <w:spacing w:after="283" w:before="0" w:line="200" w:lineRule="atLeast"/>
        <w:ind w:firstLine="567" w:left="-720" w:right="0"/>
        <w:jc w:val="center"/>
      </w:pPr>
      <w:r>
        <w:rPr/>
      </w:r>
    </w:p>
    <w:p>
      <w:pPr>
        <w:pStyle w:val="style0"/>
        <w:spacing w:after="283" w:before="0" w:line="200" w:lineRule="atLeast"/>
        <w:ind w:firstLine="567" w:left="0" w:right="0"/>
      </w:pPr>
      <w:r>
        <w:rPr/>
      </w:r>
    </w:p>
    <w:p>
      <w:pPr>
        <w:pStyle w:val="style3"/>
        <w:pageBreakBefore/>
        <w:numPr>
          <w:ilvl w:val="2"/>
          <w:numId w:val="2"/>
        </w:numPr>
        <w:spacing w:after="283" w:before="0"/>
        <w:ind w:firstLine="585" w:left="-720" w:right="0"/>
      </w:pPr>
      <w:r>
        <w:rPr/>
        <w:t>Introduction</w:t>
      </w:r>
    </w:p>
    <w:p>
      <w:pPr>
        <w:pStyle w:val="style0"/>
        <w:spacing w:after="283" w:before="0" w:line="200" w:lineRule="atLeast"/>
        <w:ind w:firstLine="567" w:left="0" w:right="0"/>
      </w:pPr>
      <w:r>
        <w:rPr>
          <w:rFonts w:ascii="DejaVu Sans" w:hAnsi="DejaVu Sans"/>
          <w:sz w:val="20"/>
          <w:szCs w:val="20"/>
        </w:rPr>
        <w:t xml:space="preserve">Les modifications apportées à la végétation et à la structure de la bande riveraine, de même que la navigation, exercent une pression sur l’écosystème du lac Bernard. Ces facteurs ont un impact négatif sur la condition naturelle des berges du lac. Ils réduisent sa capacité à assurer la survie des espèces indigènes, à prévenir l’érosion et à diminuer la quantité de nutriments déversés dans le lac. </w:t>
      </w:r>
    </w:p>
    <w:p>
      <w:pPr>
        <w:pStyle w:val="style0"/>
        <w:tabs>
          <w:tab w:leader="none" w:pos="-60" w:val="left"/>
          <w:tab w:leader="none" w:pos="690" w:val="left"/>
        </w:tabs>
        <w:spacing w:after="283" w:before="0" w:line="200" w:lineRule="atLeast"/>
        <w:ind w:firstLine="15" w:left="-30" w:right="0"/>
      </w:pPr>
      <w:r>
        <w:rPr>
          <w:rFonts w:ascii="DejaVu Sans" w:hAnsi="DejaVu Sans"/>
          <w:sz w:val="20"/>
          <w:szCs w:val="20"/>
        </w:rPr>
        <w:t xml:space="preserve">La végétation de la bande riveraine joue un rôle important parce qu’elle réduit l’érosion et filtre les eaux de ruissellement, ce qui réduit l’apport en nutriments et en contaminants toxiques qui s’écoulent dans le lac. De plus, les plantes qui bordent le lac créent des </w:t>
      </w:r>
      <w:r>
        <w:rPr>
          <w:rFonts w:ascii="DejaVu Sans" w:hAnsi="DejaVu Sans"/>
          <w:color w:val="000000"/>
          <w:sz w:val="20"/>
          <w:szCs w:val="20"/>
        </w:rPr>
        <w:t>habitats plus frais</w:t>
      </w:r>
      <w:r>
        <w:rPr>
          <w:rFonts w:ascii="DejaVu Sans" w:hAnsi="DejaVu Sans"/>
          <w:color w:val="FF0000"/>
          <w:sz w:val="20"/>
          <w:szCs w:val="20"/>
        </w:rPr>
        <w:t xml:space="preserve"> </w:t>
      </w:r>
      <w:r>
        <w:rPr>
          <w:rFonts w:ascii="DejaVu Sans" w:hAnsi="DejaVu Sans"/>
          <w:sz w:val="20"/>
          <w:szCs w:val="20"/>
        </w:rPr>
        <w:t xml:space="preserve">propices à la faune qui vient s’y abriter, s’y alimenter et s’y reproduire. La stabilisation des bandes riveraines à l’aide de murs de soutènement compromet grandement leur fonction écologique et, dans certains cas, augmente l’érosion dans les zones avoisinantes à cause de l’effet de bout des vagues. Les berges des bandes riveraines stabilisées de cette façon n’offrent pas de barrières aux eaux de ruissellement, ce qui concourt à la destruction des habitats. Année après année, la navigation sur le lac </w:t>
      </w:r>
      <w:bookmarkStart w:id="0" w:name="_GoBack"/>
      <w:bookmarkEnd w:id="0"/>
      <w:r>
        <w:rPr>
          <w:rFonts w:ascii="DejaVu Sans" w:hAnsi="DejaVu Sans"/>
          <w:sz w:val="20"/>
          <w:szCs w:val="20"/>
        </w:rPr>
        <w:t>s’intensifie, la taille des embarcations augmente de même que la quantité de vagues produites. Les grosses vagues qui atteignent la rive contribuent à l’érosion du littoral et elles endommagent l’habitat des animaux et des plantes qui vivent à quelques mètres du bord de l’eau.</w:t>
      </w:r>
    </w:p>
    <w:p>
      <w:pPr>
        <w:pStyle w:val="style0"/>
        <w:spacing w:after="283" w:before="0" w:line="200" w:lineRule="atLeast"/>
        <w:ind w:firstLine="567" w:left="0" w:right="0"/>
      </w:pPr>
      <w:r>
        <w:rPr>
          <w:rFonts w:ascii="DejaVu Sans" w:hAnsi="DejaVu Sans"/>
          <w:sz w:val="20"/>
          <w:szCs w:val="20"/>
        </w:rPr>
        <w:t xml:space="preserve">La modification des bandes riveraines et la navigation sur le plan d’eau peuvent être contrôlées en vue de préserver la qualité écologique du lac. Réduire l’impact de l’activité humaine dans la zone riveraine permet aux animaux sauvages de bénéficier d’un environnement propice à leur reproduction et aux plantes indigènes de freiner l’érosion naturelle, ce qui se traduit par une eau de meilleure qualité. </w:t>
      </w:r>
    </w:p>
    <w:p>
      <w:pPr>
        <w:pStyle w:val="style0"/>
        <w:spacing w:after="283" w:before="0" w:line="200" w:lineRule="atLeast"/>
        <w:ind w:firstLine="567" w:left="0" w:right="0"/>
      </w:pPr>
      <w:r>
        <w:rPr>
          <w:rFonts w:ascii="DejaVu Sans" w:hAnsi="DejaVu Sans"/>
          <w:sz w:val="20"/>
          <w:szCs w:val="20"/>
        </w:rPr>
        <w:t xml:space="preserve">Le présent rapport expose la condition du littoral du lac Bernard ainsi que les perturbations qui prévalaient au moment de l’étude. Il inclut des données spécifiques sur l’activité des castors, l’érosion, les groupements de plantes aquatiques et la présence d’espèces envahissantes. L’objectif de ce projet est de décrire l’état de l’ensemble du littoral du lac Bernard tel qu’observé à l’été 2012. Ces données serviront de points de référence pour les évaluations environnementales futures. </w:t>
      </w:r>
    </w:p>
    <w:p>
      <w:pPr>
        <w:pStyle w:val="style3"/>
        <w:numPr>
          <w:ilvl w:val="2"/>
          <w:numId w:val="2"/>
        </w:numPr>
        <w:spacing w:after="283" w:before="0"/>
        <w:ind w:firstLine="675" w:left="-720" w:right="0"/>
      </w:pPr>
      <w:r>
        <w:rPr>
          <w:b/>
        </w:rPr>
        <w:t>Matériel et méthode</w:t>
      </w:r>
    </w:p>
    <w:p>
      <w:pPr>
        <w:pStyle w:val="style0"/>
        <w:spacing w:after="283" w:before="0" w:line="200" w:lineRule="atLeast"/>
        <w:ind w:firstLine="567" w:left="0" w:right="0"/>
      </w:pPr>
      <w:r>
        <w:rPr>
          <w:rFonts w:ascii="DejaVu Sans" w:hAnsi="DejaVu Sans"/>
          <w:sz w:val="20"/>
          <w:szCs w:val="20"/>
        </w:rPr>
        <w:t>Des photographies du littoral ont été prises à une distance d’environ 120 m du rivage avec un appareil Nikon D300 muni d’une lentille Nikon AF 80-200 mm et d’un module GPS GP-1 ayant une précision de 10 mètres à l’horizontale. La distance au rivage a été mesurée à l’aide d’un télémètre laser Bushnell Yardage Pro 1000 dont la précision est d’environ trois mètres. Lorsqu’il s’est avéré impossible de maintenir la distance de 120 m du rivage, dans les petites baies ou à proximité de zones non navigables par exemple, la longueur focale de l’appareil photo a été ajustée pour maintenir le cadrage constant. Dans les cas où il n’a pas été possible d’utiliser le cadrage présélectionné, les photographies ont été agrandies ou réduites au moment de l’analyse afin de représenter avec précision tous les segments du littoral. Le littoral a été caractérisé de la façon suivante :</w:t>
      </w:r>
    </w:p>
    <w:p>
      <w:pPr>
        <w:pStyle w:val="style0"/>
      </w:pPr>
      <w:r>
        <w:rPr>
          <w:rFonts w:ascii="DejaVu Sans" w:hAnsi="DejaVu Sans"/>
          <w:sz w:val="20"/>
          <w:szCs w:val="20"/>
        </w:rPr>
        <w:t>1 – entièrement intact jusqu’à/ou au-delà 15 mètres du rivage, aucune perturbation</w:t>
      </w:r>
    </w:p>
    <w:p>
      <w:pPr>
        <w:pStyle w:val="style0"/>
        <w:ind w:hanging="0" w:left="720" w:right="0"/>
      </w:pPr>
      <w:r>
        <w:rPr>
          <w:rFonts w:ascii="DejaVu Sans" w:hAnsi="DejaVu Sans"/>
          <w:sz w:val="20"/>
          <w:szCs w:val="20"/>
        </w:rPr>
        <w:t>1A – roches, végétation naturellement clairsemée</w:t>
      </w:r>
    </w:p>
    <w:p>
      <w:pPr>
        <w:pStyle w:val="style0"/>
        <w:ind w:hanging="0" w:left="720" w:right="0"/>
      </w:pPr>
      <w:r>
        <w:rPr>
          <w:rFonts w:ascii="DejaVu Sans" w:hAnsi="DejaVu Sans"/>
          <w:sz w:val="20"/>
          <w:szCs w:val="20"/>
        </w:rPr>
        <w:t>1B – sol minéral exondé, végétation dense</w:t>
      </w:r>
    </w:p>
    <w:p>
      <w:pPr>
        <w:pStyle w:val="style0"/>
        <w:ind w:hanging="0" w:left="720" w:right="0"/>
      </w:pPr>
      <w:r>
        <w:rPr>
          <w:rFonts w:ascii="DejaVu Sans" w:hAnsi="DejaVu Sans"/>
          <w:sz w:val="20"/>
          <w:szCs w:val="20"/>
        </w:rPr>
        <w:t xml:space="preserve">1C – sol minéral inondé, végétation dense  </w:t>
      </w:r>
    </w:p>
    <w:p>
      <w:pPr>
        <w:pStyle w:val="style0"/>
      </w:pPr>
      <w:r>
        <w:rPr/>
      </w:r>
    </w:p>
    <w:p>
      <w:pPr>
        <w:pStyle w:val="style0"/>
      </w:pPr>
      <w:r>
        <w:rPr>
          <w:rFonts w:ascii="DejaVu Sans" w:hAnsi="DejaVu Sans"/>
          <w:sz w:val="20"/>
          <w:szCs w:val="20"/>
        </w:rPr>
        <w:t>2 – les premiers 5 mètres du littoral intacts, différents niveaux de perturbation dans la zone comprise entre 5 et 15 mètres</w:t>
      </w:r>
    </w:p>
    <w:p>
      <w:pPr>
        <w:pStyle w:val="style0"/>
        <w:ind w:hanging="0" w:left="720" w:right="0"/>
      </w:pPr>
      <w:r>
        <w:rPr>
          <w:rFonts w:ascii="DejaVu Sans" w:hAnsi="DejaVu Sans"/>
          <w:sz w:val="20"/>
          <w:szCs w:val="20"/>
        </w:rPr>
        <w:t>2A – presque entièrement non perturbé, végétation dense, intégrité élevée</w:t>
      </w:r>
    </w:p>
    <w:p>
      <w:pPr>
        <w:pStyle w:val="style0"/>
        <w:ind w:hanging="0" w:left="720" w:right="0"/>
      </w:pPr>
      <w:r>
        <w:rPr>
          <w:rFonts w:ascii="DejaVu Sans" w:hAnsi="DejaVu Sans"/>
          <w:sz w:val="20"/>
          <w:szCs w:val="20"/>
        </w:rPr>
        <w:t>2B – environ la moitié de la végétation enlevée, activité humaine évidente</w:t>
      </w:r>
    </w:p>
    <w:p>
      <w:pPr>
        <w:pStyle w:val="style0"/>
        <w:ind w:hanging="0" w:left="720" w:right="0"/>
      </w:pPr>
      <w:r>
        <w:rPr>
          <w:rFonts w:ascii="DejaVu Sans" w:hAnsi="DejaVu Sans"/>
          <w:sz w:val="20"/>
          <w:szCs w:val="20"/>
        </w:rPr>
        <w:t>2C – pratiquement toute la végétation enlevée, activité humaine intensive</w:t>
      </w:r>
    </w:p>
    <w:p>
      <w:pPr>
        <w:pStyle w:val="style0"/>
        <w:ind w:hanging="0" w:left="720" w:right="0"/>
      </w:pPr>
      <w:r>
        <w:rPr>
          <w:rFonts w:ascii="DejaVu Sans" w:hAnsi="DejaVu Sans"/>
          <w:sz w:val="20"/>
          <w:szCs w:val="20"/>
        </w:rPr>
        <w:t>2D – non altéré jusqu’aux bâtiments</w:t>
      </w:r>
    </w:p>
    <w:p>
      <w:pPr>
        <w:pStyle w:val="style0"/>
      </w:pPr>
      <w:r>
        <w:rPr/>
      </w:r>
    </w:p>
    <w:p>
      <w:pPr>
        <w:pStyle w:val="style0"/>
      </w:pPr>
      <w:r>
        <w:rPr>
          <w:rFonts w:ascii="DejaVu Sans" w:hAnsi="DejaVu Sans"/>
          <w:sz w:val="20"/>
          <w:szCs w:val="20"/>
        </w:rPr>
        <w:t xml:space="preserve">3 – les premiers 5 mètres du littoral perturbés </w:t>
      </w:r>
    </w:p>
    <w:p>
      <w:pPr>
        <w:pStyle w:val="style0"/>
        <w:ind w:hanging="0" w:left="720" w:right="0"/>
      </w:pPr>
      <w:r>
        <w:rPr>
          <w:rFonts w:ascii="DejaVu Sans" w:hAnsi="DejaVu Sans"/>
          <w:sz w:val="20"/>
          <w:szCs w:val="20"/>
        </w:rPr>
        <w:t>3A – tous les arbres enlevés, végétation basse et dense</w:t>
      </w:r>
    </w:p>
    <w:p>
      <w:pPr>
        <w:pStyle w:val="style0"/>
        <w:ind w:hanging="0" w:left="720" w:right="0"/>
      </w:pPr>
      <w:r>
        <w:rPr>
          <w:rFonts w:ascii="DejaVu Sans" w:hAnsi="DejaVu Sans"/>
          <w:sz w:val="20"/>
          <w:szCs w:val="20"/>
        </w:rPr>
        <w:t xml:space="preserve">3B – bande étroite de végétation sauvage </w:t>
      </w:r>
    </w:p>
    <w:p>
      <w:pPr>
        <w:pStyle w:val="style0"/>
        <w:ind w:hanging="0" w:left="720" w:right="0"/>
      </w:pPr>
      <w:r>
        <w:rPr>
          <w:rFonts w:ascii="DejaVu Sans" w:hAnsi="DejaVu Sans"/>
          <w:sz w:val="20"/>
          <w:szCs w:val="20"/>
        </w:rPr>
        <w:t>3C – végétation enlevée, aucune mesure de renforcement</w:t>
      </w:r>
    </w:p>
    <w:p>
      <w:pPr>
        <w:pStyle w:val="style0"/>
        <w:ind w:hanging="0" w:left="720" w:right="0"/>
      </w:pPr>
      <w:r>
        <w:rPr>
          <w:rFonts w:ascii="DejaVu Sans" w:hAnsi="DejaVu Sans"/>
          <w:sz w:val="20"/>
          <w:szCs w:val="20"/>
        </w:rPr>
        <w:t>3D – bâtiment tel que remise, chalet, maison, abris à bateaux, grand patio, etc.</w:t>
      </w:r>
    </w:p>
    <w:p>
      <w:pPr>
        <w:pStyle w:val="style0"/>
        <w:ind w:hanging="0" w:left="720" w:right="0"/>
      </w:pPr>
      <w:r>
        <w:rPr>
          <w:rFonts w:ascii="DejaVu Sans" w:hAnsi="DejaVu Sans"/>
          <w:sz w:val="20"/>
          <w:szCs w:val="20"/>
        </w:rPr>
        <w:t xml:space="preserve">3E – enrochement de renforcement </w:t>
      </w:r>
    </w:p>
    <w:p>
      <w:pPr>
        <w:pStyle w:val="style0"/>
        <w:ind w:hanging="0" w:left="720" w:right="0"/>
      </w:pPr>
      <w:r>
        <w:rPr>
          <w:rFonts w:ascii="DejaVu Sans" w:hAnsi="DejaVu Sans"/>
          <w:sz w:val="20"/>
          <w:szCs w:val="20"/>
        </w:rPr>
        <w:t>3F – renforcement à l’aide d’un mur de soutènement</w:t>
      </w:r>
    </w:p>
    <w:p>
      <w:pPr>
        <w:pStyle w:val="style0"/>
        <w:ind w:hanging="0" w:left="720" w:right="0"/>
      </w:pPr>
      <w:r>
        <w:rPr/>
      </w:r>
    </w:p>
    <w:p>
      <w:pPr>
        <w:pStyle w:val="style0"/>
      </w:pPr>
      <w:r>
        <w:rPr>
          <w:rFonts w:ascii="DejaVu Sans" w:hAnsi="DejaVu Sans"/>
          <w:sz w:val="20"/>
          <w:szCs w:val="20"/>
        </w:rPr>
        <w:t>A scale with a minimum unit of 5 percent was applied to each photograph. Figure 1 demonstrates the categorization method.</w:t>
      </w:r>
    </w:p>
    <w:p>
      <w:pPr>
        <w:pStyle w:val="style0"/>
      </w:pPr>
      <w:r>
        <w:rPr/>
      </w:r>
    </w:p>
    <w:p>
      <w:pPr>
        <w:pStyle w:val="style36"/>
        <w:keepNext/>
        <w:spacing w:after="283" w:before="0" w:line="200" w:lineRule="atLeast"/>
        <w:ind w:firstLine="567" w:left="-720" w:right="0"/>
      </w:pPr>
      <w:r>
        <w:rPr>
          <w:rFonts w:ascii="DejaVu Sans" w:hAnsi="DejaVu Sans"/>
          <w:b/>
          <w:bCs/>
          <w:i w:val="false"/>
          <w:iCs w:val="false"/>
          <w:color w:val="000000"/>
          <w:sz w:val="20"/>
          <w:szCs w:val="20"/>
        </w:rPr>
        <w:t>Figure 1. Examples of shoreline categorization.</w:t>
      </w:r>
      <w:r>
        <w:rPr>
          <w:rFonts w:ascii="DejaVu Sans" w:hAnsi="DejaVu Sans"/>
          <w:b/>
          <w:bCs/>
          <w:i w:val="false"/>
          <w:iCs w:val="false"/>
          <w:color w:val="FF0000"/>
          <w:sz w:val="20"/>
          <w:szCs w:val="20"/>
          <w:lang w:eastAsia="en-CA" w:val="en-CA"/>
        </w:rPr>
        <w:t xml:space="preserve"> </w:t>
      </w:r>
    </w:p>
    <w:p>
      <w:pPr>
        <w:pStyle w:val="style0"/>
        <w:spacing w:after="283" w:before="0" w:line="200" w:lineRule="atLeast"/>
        <w:ind w:firstLine="567" w:left="-720" w:right="0"/>
      </w:pPr>
      <w:r>
        <w:rPr/>
        <w:drawing>
          <wp:inline distB="0" distL="0" distR="0" distT="0">
            <wp:extent cx="5175885" cy="38957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5175885" cy="3895725"/>
                    </a:xfrm>
                    <a:prstGeom prst="rect">
                      <a:avLst/>
                    </a:prstGeom>
                    <a:noFill/>
                    <a:ln w="9525">
                      <a:noFill/>
                      <a:miter lim="800000"/>
                      <a:headEnd/>
                      <a:tailEnd/>
                    </a:ln>
                  </pic:spPr>
                </pic:pic>
              </a:graphicData>
            </a:graphic>
          </wp:inline>
        </w:drawing>
      </w:r>
    </w:p>
    <w:p>
      <w:pPr>
        <w:pStyle w:val="style36"/>
        <w:keepNext/>
        <w:spacing w:after="283" w:before="0" w:line="200" w:lineRule="atLeast"/>
        <w:ind w:hanging="0" w:left="0" w:right="0"/>
      </w:pPr>
      <w:r>
        <w:rPr>
          <w:rFonts w:ascii="Times New Roman" w:cs="Times New Roman" w:hAnsi="Times New Roman"/>
          <w:color w:val="000000"/>
          <w:w w:val="100"/>
          <w:sz w:val="2"/>
          <w:shd w:fill="000000" w:val="clear"/>
        </w:rPr>
        <w:drawing>
          <wp:inline distB="0" distL="0" distR="0" distT="0">
            <wp:extent cx="5168900" cy="39192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5168900" cy="3919220"/>
                    </a:xfrm>
                    <a:prstGeom prst="rect">
                      <a:avLst/>
                    </a:prstGeom>
                    <a:noFill/>
                    <a:ln w="9525">
                      <a:noFill/>
                      <a:miter lim="800000"/>
                      <a:headEnd/>
                      <a:tailEnd/>
                    </a:ln>
                  </pic:spPr>
                </pic:pic>
              </a:graphicData>
            </a:graphic>
          </wp:inline>
        </w:drawing>
      </w:r>
      <w:r>
        <w:rPr>
          <w:rFonts w:ascii="Times New Roman" w:cs="Times New Roman" w:hAnsi="Times New Roman"/>
          <w:color w:val="000000"/>
          <w:w w:val="100"/>
          <w:sz w:val="2"/>
          <w:shd w:fill="000000" w:val="clear"/>
        </w:rPr>
        <w:t xml:space="preserve"> </w:t>
      </w:r>
    </w:p>
    <w:p>
      <w:pPr>
        <w:pStyle w:val="style36"/>
        <w:keepNext/>
        <w:spacing w:after="283" w:before="0" w:line="200" w:lineRule="atLeast"/>
        <w:ind w:firstLine="567" w:left="-720" w:right="0"/>
      </w:pPr>
      <w:r>
        <w:rPr/>
      </w:r>
    </w:p>
    <w:p>
      <w:pPr>
        <w:pStyle w:val="style0"/>
        <w:spacing w:after="283" w:before="0" w:line="200" w:lineRule="atLeast"/>
        <w:ind w:firstLine="567" w:left="-720" w:right="0"/>
      </w:pPr>
      <w:r>
        <w:rPr/>
        <w:drawing>
          <wp:inline distB="0" distL="0" distR="0" distT="0">
            <wp:extent cx="5168900" cy="38798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5168900" cy="3879850"/>
                    </a:xfrm>
                    <a:prstGeom prst="rect">
                      <a:avLst/>
                    </a:prstGeom>
                    <a:noFill/>
                    <a:ln w="9525">
                      <a:noFill/>
                      <a:miter lim="800000"/>
                      <a:headEnd/>
                      <a:tailEnd/>
                    </a:ln>
                  </pic:spPr>
                </pic:pic>
              </a:graphicData>
            </a:graphic>
          </wp:inline>
        </w:drawing>
      </w:r>
    </w:p>
    <w:p>
      <w:pPr>
        <w:pStyle w:val="style0"/>
        <w:spacing w:after="283" w:before="0" w:line="200" w:lineRule="atLeast"/>
        <w:ind w:firstLine="567" w:left="0" w:right="0"/>
      </w:pPr>
      <w:r>
        <w:rPr>
          <w:rFonts w:ascii="DejaVu Sans" w:hAnsi="DejaVu Sans"/>
          <w:sz w:val="20"/>
        </w:rPr>
        <w:t>Photographs were taken so as to minimize overlap.  The overlapped portion was not included in the tally of percentage of each category of shoreline represented in the photograph (Figure 2).</w:t>
      </w:r>
    </w:p>
    <w:p>
      <w:pPr>
        <w:pStyle w:val="style36"/>
        <w:keepNext/>
        <w:spacing w:after="283" w:before="0" w:line="200" w:lineRule="atLeast"/>
        <w:ind w:firstLine="567" w:left="-720" w:right="0"/>
      </w:pPr>
      <w:r>
        <w:rPr>
          <w:rFonts w:ascii="DejaVu Sans" w:hAnsi="DejaVu Sans"/>
          <w:b/>
          <w:bCs/>
          <w:i w:val="false"/>
          <w:iCs w:val="false"/>
          <w:color w:val="000000"/>
          <w:sz w:val="20"/>
          <w:szCs w:val="20"/>
        </w:rPr>
        <w:t>Figure 2. Example of overlapping photographs and uncounted portion.</w:t>
      </w:r>
    </w:p>
    <w:p>
      <w:pPr>
        <w:pStyle w:val="style0"/>
        <w:spacing w:after="283" w:before="0" w:line="200" w:lineRule="atLeast"/>
        <w:ind w:firstLine="567" w:left="-720" w:right="0"/>
      </w:pPr>
      <w:r>
        <w:rPr/>
        <w:drawing>
          <wp:inline distB="0" distL="0" distR="0" distT="0">
            <wp:extent cx="5901055" cy="235712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5901055" cy="2357120"/>
                    </a:xfrm>
                    <a:prstGeom prst="rect">
                      <a:avLst/>
                    </a:prstGeom>
                    <a:noFill/>
                    <a:ln w="9525">
                      <a:noFill/>
                      <a:miter lim="800000"/>
                      <a:headEnd/>
                      <a:tailEnd/>
                    </a:ln>
                  </pic:spPr>
                </pic:pic>
              </a:graphicData>
            </a:graphic>
          </wp:inline>
        </w:drawing>
      </w:r>
    </w:p>
    <w:p>
      <w:pPr>
        <w:pStyle w:val="style0"/>
        <w:spacing w:after="283" w:before="0" w:line="200" w:lineRule="atLeast"/>
        <w:ind w:firstLine="567" w:left="0" w:right="0"/>
      </w:pPr>
      <w:r>
        <w:rPr>
          <w:rFonts w:ascii="DejaVu Sans" w:hAnsi="DejaVu Sans"/>
          <w:sz w:val="20"/>
          <w:szCs w:val="20"/>
        </w:rPr>
        <w:t xml:space="preserve">All of the islands on the lake were also photographed with geoposition information but without being a standard distance from shore.  The photographs were not analysed, rather their purpose was to log the general state of the island shoreline as it was in 2012 for future comparisons.  With few exceptions, the shorelines of the islands were completely undisturbed. </w:t>
      </w:r>
    </w:p>
    <w:p>
      <w:pPr>
        <w:pStyle w:val="style0"/>
        <w:spacing w:after="283" w:before="0" w:line="200" w:lineRule="atLeast"/>
        <w:ind w:firstLine="567" w:left="0" w:right="0"/>
      </w:pPr>
      <w:r>
        <w:rPr>
          <w:rFonts w:ascii="DejaVu Sans" w:hAnsi="DejaVu Sans"/>
          <w:sz w:val="20"/>
          <w:szCs w:val="20"/>
        </w:rPr>
        <w:t>While taking the shoreline photographs, areas of dense aquatic plants were noted.  Photographs and specimens were collected in the case of the milfoil, for further identification purposes.  General observations were also made to detect the presence of any other invasive species.  Beaver activity and lodges were also noted, along with evidence of erosion.  The locations of dense aquatic plants, beavers and erosion were noted on the map but not associated with specific GPS coordinates.</w:t>
      </w:r>
    </w:p>
    <w:p>
      <w:pPr>
        <w:pStyle w:val="style0"/>
        <w:spacing w:after="283" w:before="0" w:line="200" w:lineRule="atLeast"/>
        <w:ind w:firstLine="567" w:left="0" w:right="0"/>
      </w:pPr>
      <w:r>
        <w:rPr/>
      </w:r>
    </w:p>
    <w:p>
      <w:pPr>
        <w:pStyle w:val="style3"/>
        <w:numPr>
          <w:ilvl w:val="2"/>
          <w:numId w:val="2"/>
        </w:numPr>
        <w:spacing w:after="283" w:before="0"/>
        <w:ind w:firstLine="567" w:left="-720" w:right="0"/>
      </w:pPr>
      <w:r>
        <w:rPr/>
        <w:t>Observations, analysis and commentary</w:t>
      </w:r>
    </w:p>
    <w:p>
      <w:pPr>
        <w:pStyle w:val="style6"/>
        <w:numPr>
          <w:ilvl w:val="5"/>
          <w:numId w:val="2"/>
        </w:numPr>
      </w:pPr>
      <w:r>
        <w:rPr/>
        <w:t>Shoreline categorization</w:t>
      </w:r>
    </w:p>
    <w:p>
      <w:pPr>
        <w:pStyle w:val="style0"/>
        <w:spacing w:after="283" w:before="0" w:line="200" w:lineRule="atLeast"/>
        <w:ind w:firstLine="567" w:left="0" w:right="0"/>
      </w:pPr>
      <w:r>
        <w:rPr>
          <w:rFonts w:ascii="DejaVu Sans" w:hAnsi="DejaVu Sans"/>
          <w:sz w:val="20"/>
          <w:szCs w:val="20"/>
        </w:rPr>
        <w:tab/>
        <w:t>Of the 1101 shoreline photographs taken, 1076 were analysed for shoreline status.  The 25 remaining photographs were not counted because the shoreline captured was completely overlapped by preceding or following photographs.  In most cases, the redundant photographs were used to better categorize the shoreline status of the counted photographs.  The status of the islands was not counted in the analysis because they would have biased the results towards the undisturbed category.  The total percentages for intact, partially altered and completely altered shoreline were 48.3, 11.2 and 40.5, respectively (Table 1).  Figure 3 shows the proportions of the subcategories.</w:t>
      </w:r>
    </w:p>
    <w:p>
      <w:pPr>
        <w:pStyle w:val="style36"/>
        <w:keepNext/>
        <w:spacing w:after="283" w:before="0" w:line="200" w:lineRule="atLeast"/>
        <w:ind w:firstLine="567" w:left="0" w:right="0"/>
      </w:pPr>
      <w:r>
        <w:rPr/>
      </w:r>
    </w:p>
    <w:p>
      <w:pPr>
        <w:pStyle w:val="style36"/>
        <w:keepNext/>
        <w:spacing w:after="283" w:before="0" w:line="200" w:lineRule="atLeast"/>
        <w:ind w:firstLine="567" w:left="0" w:right="0"/>
      </w:pPr>
      <w:r>
        <w:rPr/>
      </w:r>
    </w:p>
    <w:p>
      <w:pPr>
        <w:pStyle w:val="style36"/>
        <w:keepNext/>
        <w:spacing w:after="283" w:before="0" w:line="200" w:lineRule="atLeast"/>
        <w:ind w:firstLine="567" w:left="-720" w:right="0"/>
      </w:pPr>
      <w:r>
        <w:rPr>
          <w:rFonts w:ascii="DejaVu Sans" w:hAnsi="DejaVu Sans"/>
          <w:b/>
          <w:bCs/>
          <w:color w:val="000000"/>
          <w:sz w:val="20"/>
          <w:szCs w:val="20"/>
        </w:rPr>
        <w:t xml:space="preserve">Table . </w:t>
      </w:r>
      <w:r>
        <w:rPr>
          <w:rFonts w:ascii="DejaVu Sans" w:hAnsi="DejaVu Sans"/>
          <w:b/>
          <w:bCs/>
          <w:i w:val="false"/>
          <w:iCs w:val="false"/>
          <w:color w:val="000000"/>
          <w:sz w:val="20"/>
          <w:szCs w:val="20"/>
        </w:rPr>
        <w:t>Percentages for each category of shoreline development.</w:t>
      </w:r>
    </w:p>
    <w:tbl>
      <w:tblPr>
        <w:jc w:val="left"/>
        <w:tblInd w:type="dxa" w:w="-118"/>
        <w:tblBorders>
          <w:top w:color="000001" w:space="0" w:sz="4" w:val="single"/>
          <w:left w:color="000001" w:space="0" w:sz="4" w:val="single"/>
          <w:bottom w:color="000001" w:space="0" w:sz="4" w:val="single"/>
        </w:tblBorders>
      </w:tblPr>
      <w:tblGrid>
        <w:gridCol w:w="1159"/>
        <w:gridCol w:w="4800"/>
        <w:gridCol w:w="971"/>
      </w:tblGrid>
      <w:tr>
        <w:trPr>
          <w:trHeight w:hRule="atLeast" w:val="300"/>
          <w:cantSplit w:val="false"/>
        </w:trPr>
        <w:tc>
          <w:tcPr>
            <w:tcW w:type="dxa" w:w="1159"/>
            <w:vMerge w:val="restart"/>
            <w:tcBorders>
              <w:top w:color="000001" w:space="0" w:sz="4" w:val="single"/>
              <w:left w:color="000001" w:space="0" w:sz="4" w:val="single"/>
              <w:bottom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jc w:val="center"/>
            </w:pPr>
            <w:r>
              <w:rPr>
                <w:rFonts w:cs="Calibri"/>
                <w:color w:val="000000"/>
                <w:sz w:val="20"/>
                <w:szCs w:val="20"/>
                <w:lang w:eastAsia="en-CA"/>
              </w:rPr>
              <w:t>Category</w:t>
            </w:r>
          </w:p>
        </w:tc>
        <w:tc>
          <w:tcPr>
            <w:tcW w:type="dxa" w:w="4800"/>
            <w:vMerge w:val="restart"/>
            <w:tcBorders>
              <w:top w:color="000001" w:space="0" w:sz="4" w:val="single"/>
              <w:left w:color="000001" w:space="0" w:sz="4" w:val="single"/>
              <w:bottom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jc w:val="center"/>
            </w:pPr>
            <w:r>
              <w:rPr>
                <w:rFonts w:cs="Calibri"/>
                <w:color w:val="000000"/>
                <w:sz w:val="20"/>
                <w:szCs w:val="20"/>
                <w:lang w:eastAsia="en-CA"/>
              </w:rPr>
              <w:t>Description</w:t>
            </w:r>
          </w:p>
        </w:tc>
        <w:tc>
          <w:tcPr>
            <w:tcW w:type="dxa" w:w="971"/>
            <w:vMerge w:val="restart"/>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jc w:val="center"/>
            </w:pPr>
            <w:r>
              <w:rPr>
                <w:rFonts w:cs="Calibri"/>
                <w:color w:val="000000"/>
                <w:sz w:val="20"/>
                <w:szCs w:val="20"/>
                <w:lang w:eastAsia="en-CA"/>
              </w:rPr>
              <w:t>Total %</w:t>
            </w:r>
          </w:p>
        </w:tc>
      </w:tr>
      <w:tr>
        <w:trPr>
          <w:trHeight w:hRule="atLeast" w:val="244"/>
          <w:cantSplit w:val="false"/>
        </w:trPr>
        <w:tc>
          <w:tcPr>
            <w:tcW w:type="dxa" w:w="1159"/>
            <w:vMerge w:val="continue"/>
            <w:tcBorders>
              <w:top w:color="000001" w:space="0" w:sz="4" w:val="single"/>
              <w:left w:color="000001" w:space="0" w:sz="4" w:val="single"/>
              <w:bottom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pPr>
            <w:r>
              <w:rPr/>
            </w:r>
          </w:p>
        </w:tc>
        <w:tc>
          <w:tcPr>
            <w:tcW w:type="dxa" w:w="4800"/>
            <w:vMerge w:val="continue"/>
            <w:tcBorders>
              <w:top w:color="000001" w:space="0" w:sz="4" w:val="single"/>
              <w:left w:color="000001" w:space="0" w:sz="4" w:val="single"/>
              <w:bottom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pPr>
            <w:r>
              <w:rPr/>
            </w:r>
          </w:p>
        </w:tc>
        <w:tc>
          <w:tcPr>
            <w:tcW w:type="dxa" w:w="971"/>
            <w:vMerge w:val="continue"/>
            <w:tcBorders>
              <w:top w:color="000001" w:space="0" w:sz="4" w:val="single"/>
              <w:left w:color="000001" w:space="0" w:sz="4" w:val="single"/>
              <w:bottom w:color="000001" w:space="0" w:sz="4" w:val="single"/>
              <w:right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pPr>
            <w:r>
              <w:rPr/>
            </w:r>
          </w:p>
        </w:tc>
      </w:tr>
      <w:tr>
        <w:trPr>
          <w:trHeight w:hRule="atLeast" w:val="300"/>
          <w:cantSplit w:val="false"/>
        </w:trPr>
        <w:tc>
          <w:tcPr>
            <w:tcW w:type="dxa" w:w="1159"/>
            <w:tcBorders>
              <w:left w:color="000001" w:space="0" w:sz="4" w:val="single"/>
              <w:bottom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jc w:val="center"/>
            </w:pPr>
            <w:r>
              <w:rPr>
                <w:rFonts w:cs="Calibri"/>
                <w:color w:val="000000"/>
                <w:sz w:val="20"/>
                <w:szCs w:val="20"/>
                <w:lang w:eastAsia="en-CA"/>
              </w:rPr>
              <w:t>1</w:t>
            </w:r>
          </w:p>
        </w:tc>
        <w:tc>
          <w:tcPr>
            <w:tcW w:type="dxa" w:w="4800"/>
            <w:tcBorders>
              <w:top w:color="000001" w:space="0" w:sz="4" w:val="single"/>
              <w:left w:color="000001" w:space="0" w:sz="4" w:val="single"/>
              <w:bottom w:color="000001" w:space="0" w:sz="4" w:val="single"/>
            </w:tcBorders>
            <w:shd w:fill="FFFFFF" w:val="clear"/>
            <w:tcMar>
              <w:top w:type="dxa" w:w="0"/>
              <w:left w:type="dxa" w:w="108"/>
              <w:bottom w:type="dxa" w:w="0"/>
              <w:right w:type="dxa" w:w="108"/>
            </w:tcMar>
            <w:vAlign w:val="bottom"/>
          </w:tcPr>
          <w:p>
            <w:pPr>
              <w:pStyle w:val="style0"/>
              <w:spacing w:after="283" w:before="0" w:line="200" w:lineRule="atLeast"/>
              <w:ind w:firstLine="567" w:left="0" w:right="0"/>
              <w:jc w:val="center"/>
            </w:pPr>
            <w:r>
              <w:rPr>
                <w:rFonts w:cs="Calibri"/>
                <w:color w:val="000000"/>
                <w:sz w:val="20"/>
                <w:szCs w:val="20"/>
                <w:lang w:eastAsia="en-CA"/>
              </w:rPr>
              <w:t>Full 15 m undisturbed</w:t>
            </w:r>
          </w:p>
        </w:tc>
        <w:tc>
          <w:tcPr>
            <w:tcW w:type="dxa" w:w="971"/>
            <w:tcBorders>
              <w:left w:color="000001" w:space="0" w:sz="4" w:val="single"/>
              <w:bottom w:color="000001" w:space="0" w:sz="4" w:val="single"/>
              <w:right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jc w:val="center"/>
            </w:pPr>
            <w:r>
              <w:rPr>
                <w:rFonts w:cs="Calibri"/>
                <w:color w:val="000000"/>
                <w:sz w:val="20"/>
                <w:szCs w:val="20"/>
                <w:lang w:eastAsia="en-CA"/>
              </w:rPr>
              <w:t>48.3</w:t>
            </w:r>
          </w:p>
        </w:tc>
      </w:tr>
      <w:tr>
        <w:trPr>
          <w:trHeight w:hRule="atLeast" w:val="300"/>
          <w:cantSplit w:val="false"/>
        </w:trPr>
        <w:tc>
          <w:tcPr>
            <w:tcW w:type="dxa" w:w="1159"/>
            <w:tcBorders>
              <w:left w:color="000001" w:space="0" w:sz="4" w:val="single"/>
              <w:bottom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jc w:val="center"/>
            </w:pPr>
            <w:r>
              <w:rPr>
                <w:rFonts w:cs="Calibri"/>
                <w:color w:val="000000"/>
                <w:sz w:val="20"/>
                <w:szCs w:val="20"/>
                <w:lang w:eastAsia="en-CA"/>
              </w:rPr>
              <w:t>2</w:t>
            </w:r>
          </w:p>
        </w:tc>
        <w:tc>
          <w:tcPr>
            <w:tcW w:type="dxa" w:w="4800"/>
            <w:tcBorders>
              <w:top w:color="000001" w:space="0" w:sz="4" w:val="single"/>
              <w:left w:color="000001" w:space="0" w:sz="4" w:val="single"/>
              <w:bottom w:color="000001" w:space="0" w:sz="4" w:val="single"/>
            </w:tcBorders>
            <w:shd w:fill="FFFFFF" w:val="clear"/>
            <w:tcMar>
              <w:top w:type="dxa" w:w="0"/>
              <w:left w:type="dxa" w:w="108"/>
              <w:bottom w:type="dxa" w:w="0"/>
              <w:right w:type="dxa" w:w="108"/>
            </w:tcMar>
            <w:vAlign w:val="bottom"/>
          </w:tcPr>
          <w:p>
            <w:pPr>
              <w:pStyle w:val="style0"/>
              <w:spacing w:after="283" w:before="0" w:line="200" w:lineRule="atLeast"/>
              <w:ind w:firstLine="567" w:left="0" w:right="0"/>
              <w:jc w:val="center"/>
            </w:pPr>
            <w:r>
              <w:rPr>
                <w:rFonts w:cs="Calibri"/>
                <w:color w:val="000000"/>
                <w:sz w:val="20"/>
                <w:szCs w:val="20"/>
                <w:lang w:eastAsia="en-CA"/>
              </w:rPr>
              <w:t>First 5 m undisturbed then varying disturbance</w:t>
            </w:r>
          </w:p>
        </w:tc>
        <w:tc>
          <w:tcPr>
            <w:tcW w:type="dxa" w:w="971"/>
            <w:tcBorders>
              <w:left w:color="000001" w:space="0" w:sz="4" w:val="single"/>
              <w:bottom w:color="000001" w:space="0" w:sz="4" w:val="single"/>
              <w:right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jc w:val="center"/>
            </w:pPr>
            <w:r>
              <w:rPr>
                <w:rFonts w:cs="Calibri"/>
                <w:color w:val="000000"/>
                <w:sz w:val="20"/>
                <w:szCs w:val="20"/>
                <w:lang w:eastAsia="en-CA"/>
              </w:rPr>
              <w:t>11.5</w:t>
            </w:r>
          </w:p>
        </w:tc>
      </w:tr>
      <w:tr>
        <w:trPr>
          <w:trHeight w:hRule="atLeast" w:val="300"/>
          <w:cantSplit w:val="false"/>
        </w:trPr>
        <w:tc>
          <w:tcPr>
            <w:tcW w:type="dxa" w:w="1159"/>
            <w:tcBorders>
              <w:left w:color="000001" w:space="0" w:sz="4" w:val="single"/>
              <w:bottom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jc w:val="center"/>
            </w:pPr>
            <w:r>
              <w:rPr>
                <w:rFonts w:cs="Calibri"/>
                <w:color w:val="000000"/>
                <w:sz w:val="20"/>
                <w:szCs w:val="20"/>
                <w:lang w:eastAsia="en-CA"/>
              </w:rPr>
              <w:t>3</w:t>
            </w:r>
          </w:p>
        </w:tc>
        <w:tc>
          <w:tcPr>
            <w:tcW w:type="dxa" w:w="4800"/>
            <w:tcBorders>
              <w:top w:color="000001" w:space="0" w:sz="4" w:val="single"/>
              <w:left w:color="000001" w:space="0" w:sz="4" w:val="single"/>
              <w:bottom w:color="000001" w:space="0" w:sz="4" w:val="single"/>
            </w:tcBorders>
            <w:shd w:fill="FFFFFF" w:val="clear"/>
            <w:tcMar>
              <w:top w:type="dxa" w:w="0"/>
              <w:left w:type="dxa" w:w="108"/>
              <w:bottom w:type="dxa" w:w="0"/>
              <w:right w:type="dxa" w:w="108"/>
            </w:tcMar>
            <w:vAlign w:val="bottom"/>
          </w:tcPr>
          <w:p>
            <w:pPr>
              <w:pStyle w:val="style0"/>
              <w:spacing w:after="283" w:before="0" w:line="200" w:lineRule="atLeast"/>
              <w:ind w:firstLine="567" w:left="0" w:right="0"/>
              <w:jc w:val="center"/>
            </w:pPr>
            <w:r>
              <w:rPr>
                <w:rFonts w:cs="Calibri"/>
                <w:color w:val="000000"/>
                <w:sz w:val="20"/>
                <w:szCs w:val="20"/>
                <w:lang w:eastAsia="en-CA"/>
              </w:rPr>
              <w:t>First 5m of shoreline disturbed</w:t>
            </w:r>
          </w:p>
        </w:tc>
        <w:tc>
          <w:tcPr>
            <w:tcW w:type="dxa" w:w="971"/>
            <w:tcBorders>
              <w:left w:color="000001" w:space="0" w:sz="4" w:val="single"/>
              <w:bottom w:color="000001" w:space="0" w:sz="4" w:val="single"/>
              <w:right w:color="000001" w:space="0" w:sz="4" w:val="single"/>
            </w:tcBorders>
            <w:shd w:fill="FFFFFF" w:val="clear"/>
            <w:tcMar>
              <w:top w:type="dxa" w:w="0"/>
              <w:left w:type="dxa" w:w="108"/>
              <w:bottom w:type="dxa" w:w="0"/>
              <w:right w:type="dxa" w:w="108"/>
            </w:tcMar>
            <w:vAlign w:val="center"/>
          </w:tcPr>
          <w:p>
            <w:pPr>
              <w:pStyle w:val="style0"/>
              <w:spacing w:after="283" w:before="0" w:line="200" w:lineRule="atLeast"/>
              <w:ind w:firstLine="567" w:left="0" w:right="0"/>
              <w:jc w:val="center"/>
            </w:pPr>
            <w:r>
              <w:rPr>
                <w:rFonts w:cs="Calibri"/>
                <w:color w:val="000000"/>
                <w:sz w:val="20"/>
                <w:szCs w:val="20"/>
                <w:lang w:eastAsia="en-CA"/>
              </w:rPr>
              <w:t>40.2</w:t>
            </w:r>
          </w:p>
        </w:tc>
      </w:tr>
    </w:tbl>
    <w:p>
      <w:pPr>
        <w:pStyle w:val="style36"/>
        <w:keepNext/>
        <w:spacing w:after="283" w:before="0" w:line="200" w:lineRule="atLeast"/>
        <w:ind w:firstLine="567" w:left="0" w:right="0"/>
      </w:pPr>
      <w:r>
        <w:rPr/>
      </w:r>
    </w:p>
    <w:p>
      <w:pPr>
        <w:pStyle w:val="style36"/>
        <w:keepNext/>
        <w:spacing w:after="283" w:before="0" w:line="200" w:lineRule="atLeast"/>
        <w:ind w:firstLine="567" w:left="-720" w:right="0"/>
      </w:pPr>
      <w:r>
        <w:rPr/>
      </w:r>
    </w:p>
    <w:p>
      <w:pPr>
        <w:pStyle w:val="style36"/>
        <w:keepNext/>
        <w:spacing w:after="283" w:before="0" w:line="200" w:lineRule="atLeast"/>
        <w:ind w:firstLine="567" w:left="-720" w:right="0"/>
      </w:pPr>
      <w:r>
        <w:rPr>
          <w:rFonts w:ascii="DejaVu Sans" w:hAnsi="DejaVu Sans"/>
          <w:b/>
          <w:bCs/>
          <w:color w:val="000000"/>
          <w:sz w:val="20"/>
          <w:szCs w:val="20"/>
        </w:rPr>
        <w:t xml:space="preserve">Figure 3. </w:t>
      </w:r>
      <w:r>
        <w:rPr>
          <w:rFonts w:ascii="DejaVu Sans" w:hAnsi="DejaVu Sans"/>
          <w:b/>
          <w:bCs/>
          <w:i w:val="false"/>
          <w:iCs w:val="false"/>
          <w:color w:val="000000"/>
          <w:sz w:val="20"/>
          <w:szCs w:val="20"/>
        </w:rPr>
        <w:t>Percentages for each subcategory of shoreline development.</w:t>
      </w:r>
    </w:p>
    <w:p>
      <w:pPr>
        <w:pStyle w:val="style0"/>
        <w:spacing w:after="283" w:before="0" w:line="200" w:lineRule="atLeast"/>
        <w:ind w:firstLine="567" w:left="-720" w:right="0"/>
      </w:pPr>
      <w:r>
        <w:rPr/>
        <w:drawing>
          <wp:inline distB="0" distL="0" distR="0" distT="0">
            <wp:extent cx="4309110" cy="36944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4309110" cy="3694430"/>
                    </a:xfrm>
                    <a:prstGeom prst="rect">
                      <a:avLst/>
                    </a:prstGeom>
                    <a:noFill/>
                    <a:ln w="9525">
                      <a:noFill/>
                      <a:miter lim="800000"/>
                      <a:headEnd/>
                      <a:tailEnd/>
                    </a:ln>
                  </pic:spPr>
                </pic:pic>
              </a:graphicData>
            </a:graphic>
          </wp:inline>
        </w:drawing>
      </w:r>
    </w:p>
    <w:p>
      <w:pPr>
        <w:pStyle w:val="style0"/>
        <w:spacing w:after="283" w:before="0" w:line="200" w:lineRule="atLeast"/>
        <w:ind w:firstLine="567" w:left="-120" w:right="0"/>
      </w:pPr>
      <w:r>
        <w:rPr>
          <w:rFonts w:ascii="DejaVu Sans" w:hAnsi="DejaVu Sans"/>
          <w:sz w:val="20"/>
          <w:szCs w:val="20"/>
        </w:rPr>
        <w:t>Due to the difficulty in estimating distances, some small inaccuracies in categorization were inevitable.  However, the crucial categories of intact and completely disturbed shorelines were easily observed so the overall effect of any minor categorization imprecision was minimal.   Photograph properties included GPS locations for nearly every photograph.  Given the fact that photographs preceding and following contain location information and that photographs were taken in sequence around the shoreline of the lake, the locations of the photographs missing positioning data should be easily determined for future comparative purposes.  Photographs were archived on an external hard drive along with a file indicating on a map the approximate location of every 25</w:t>
      </w:r>
      <w:r>
        <w:rPr>
          <w:rFonts w:ascii="DejaVu Sans" w:hAnsi="DejaVu Sans"/>
          <w:sz w:val="20"/>
          <w:szCs w:val="20"/>
          <w:vertAlign w:val="superscript"/>
        </w:rPr>
        <w:t>th</w:t>
      </w:r>
      <w:r>
        <w:rPr>
          <w:rFonts w:ascii="DejaVu Sans" w:hAnsi="DejaVu Sans"/>
          <w:sz w:val="20"/>
          <w:szCs w:val="20"/>
        </w:rPr>
        <w:t xml:space="preserve"> photograph.  Figure 4 gives an overview of the average level of disturbance around the lake.</w:t>
      </w:r>
    </w:p>
    <w:p>
      <w:pPr>
        <w:pStyle w:val="style36"/>
        <w:keepNext/>
        <w:spacing w:after="283" w:before="0" w:line="200" w:lineRule="atLeast"/>
        <w:ind w:firstLine="567" w:left="-720" w:right="0"/>
      </w:pPr>
      <w:r>
        <w:rPr>
          <w:rFonts w:ascii="DejaVu Sans" w:hAnsi="DejaVu Sans"/>
          <w:b/>
          <w:bCs/>
          <w:i w:val="false"/>
          <w:iCs w:val="false"/>
          <w:color w:val="000000"/>
          <w:sz w:val="20"/>
          <w:szCs w:val="20"/>
        </w:rPr>
        <w:t>Figure 4. Approximation of shoreline status for Lac Bernard.</w:t>
      </w:r>
    </w:p>
    <w:p>
      <w:pPr>
        <w:pStyle w:val="style0"/>
        <w:spacing w:after="283" w:before="0" w:line="200" w:lineRule="atLeast"/>
        <w:ind w:firstLine="567" w:left="-720" w:right="0"/>
      </w:pPr>
      <w:r>
        <w:rPr/>
        <w:drawing>
          <wp:inline distB="0" distL="0" distR="0" distT="0">
            <wp:extent cx="5943600" cy="419798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5943600" cy="4197985"/>
                    </a:xfrm>
                    <a:prstGeom prst="rect">
                      <a:avLst/>
                    </a:prstGeom>
                    <a:noFill/>
                    <a:ln w="9525">
                      <a:noFill/>
                      <a:miter lim="800000"/>
                      <a:headEnd/>
                      <a:tailEnd/>
                    </a:ln>
                  </pic:spPr>
                </pic:pic>
              </a:graphicData>
            </a:graphic>
          </wp:inline>
        </w:drawing>
      </w:r>
    </w:p>
    <w:p>
      <w:pPr>
        <w:pStyle w:val="style0"/>
        <w:pageBreakBefore/>
        <w:spacing w:after="283" w:before="0" w:line="200" w:lineRule="atLeast"/>
        <w:ind w:firstLine="567" w:left="0" w:right="0"/>
      </w:pPr>
      <w:r>
        <w:rPr/>
      </w:r>
    </w:p>
    <w:p>
      <w:pPr>
        <w:pStyle w:val="style6"/>
        <w:numPr>
          <w:ilvl w:val="5"/>
          <w:numId w:val="2"/>
        </w:numPr>
        <w:spacing w:after="283" w:before="0"/>
        <w:ind w:firstLine="567" w:left="-720" w:right="0"/>
      </w:pPr>
      <w:r>
        <w:rPr/>
        <w:t>Inlet and outlet</w:t>
      </w:r>
    </w:p>
    <w:p>
      <w:pPr>
        <w:pStyle w:val="style0"/>
        <w:spacing w:after="283" w:before="0" w:line="200" w:lineRule="atLeast"/>
        <w:ind w:firstLine="567" w:left="0" w:right="0"/>
      </w:pPr>
      <w:r>
        <w:rPr>
          <w:rFonts w:ascii="DejaVu Sans" w:hAnsi="DejaVu Sans"/>
          <w:sz w:val="20"/>
          <w:szCs w:val="20"/>
        </w:rPr>
        <w:tab/>
        <w:t>The inlet and outlet of the lake were explored late in the summer once the water levels increased, making the waterways passable in an aluminum boat.  The main inlet consists of the convergence of the Motherwell and Fish creeks.  The entrance to the inlet is a series of very shallow water paths through dense aquatic plants namely, pickerel weed, various water lily species and Eurasian milfoil.  These paths are littered with wood chips, evidence of the high beaver activity.  From the mouth of the inlet, a distance of approximately 150 m was navigable until a series of dams obstructed the waterway.  There was evidence that the dams had been broken by humans, both recently and repeatedly in the past: gaps in the current dams (which were being repaired by the beavers), debris pulled out of the water to the sides of the dams and logs sawn in half.  The channel was on average 8-10 m wide with a mildly sinuous deeper channel, maintained by both the current and beavers.  Shallow pools provided habitat for tadpoles, frogs, painted turtles and minnows.  The vegetation was dense and diverse.  Wetland species such as Sweet gale, Virginia creeper and various grasses dominated the riparian zone with somewhat rarer plant species such as the cardinal and turtlehead flower also observed (Figure 5).</w:t>
      </w:r>
      <w:r>
        <w:rPr>
          <w:sz w:val="20"/>
          <w:szCs w:val="20"/>
        </w:rPr>
        <w:t xml:space="preserve"> </w:t>
      </w:r>
    </w:p>
    <w:p>
      <w:pPr>
        <w:pStyle w:val="style36"/>
        <w:keepNext/>
        <w:spacing w:after="283" w:before="0" w:line="200" w:lineRule="atLeast"/>
        <w:ind w:hanging="0" w:left="-15" w:right="0"/>
      </w:pPr>
      <w:r>
        <w:rPr>
          <w:rFonts w:ascii="DejaVu Sans" w:hAnsi="DejaVu Sans"/>
          <w:b/>
          <w:bCs/>
          <w:i w:val="false"/>
          <w:iCs w:val="false"/>
          <w:color w:val="000000"/>
          <w:sz w:val="20"/>
          <w:szCs w:val="20"/>
        </w:rPr>
        <w:t>Figure 5. The Cardinal (left) and Turtlehead (right) flowers observed in the inlet to Lac Bernard.</w:t>
      </w:r>
    </w:p>
    <w:p>
      <w:pPr>
        <w:pStyle w:val="style0"/>
        <w:spacing w:after="283" w:before="0" w:line="200" w:lineRule="atLeast"/>
        <w:ind w:hanging="0" w:left="-15" w:right="0"/>
      </w:pPr>
      <w:r>
        <w:rPr>
          <w:rFonts w:cs="Calibri" w:eastAsia="Calibri"/>
          <w:sz w:val="20"/>
          <w:szCs w:val="20"/>
        </w:rPr>
        <w:t xml:space="preserve"> </w:t>
      </w:r>
      <w:r>
        <w:rPr>
          <w:rFonts w:cs="Calibri" w:eastAsia="Calibri"/>
          <w:sz w:val="20"/>
          <w:szCs w:val="20"/>
        </w:rPr>
        <w:drawing>
          <wp:inline distB="0" distL="0" distR="0" distT="0">
            <wp:extent cx="2320925" cy="32378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2320925" cy="3237865"/>
                    </a:xfrm>
                    <a:prstGeom prst="rect">
                      <a:avLst/>
                    </a:prstGeom>
                    <a:noFill/>
                    <a:ln w="9525">
                      <a:noFill/>
                      <a:miter lim="800000"/>
                      <a:headEnd/>
                      <a:tailEnd/>
                    </a:ln>
                  </pic:spPr>
                </pic:pic>
              </a:graphicData>
            </a:graphic>
          </wp:inline>
        </w:drawing>
      </w:r>
      <w:r>
        <w:rPr>
          <w:rFonts w:cs="Calibri" w:eastAsia="Calibri"/>
          <w:sz w:val="20"/>
          <w:szCs w:val="20"/>
        </w:rPr>
        <w:drawing>
          <wp:inline distB="0" distL="0" distR="0" distT="0">
            <wp:extent cx="2332355" cy="32086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2332355" cy="3208655"/>
                    </a:xfrm>
                    <a:prstGeom prst="rect">
                      <a:avLst/>
                    </a:prstGeom>
                    <a:noFill/>
                    <a:ln w="9525">
                      <a:noFill/>
                      <a:miter lim="800000"/>
                      <a:headEnd/>
                      <a:tailEnd/>
                    </a:ln>
                  </pic:spPr>
                </pic:pic>
              </a:graphicData>
            </a:graphic>
          </wp:inline>
        </w:drawing>
      </w:r>
    </w:p>
    <w:p>
      <w:pPr>
        <w:pStyle w:val="style0"/>
        <w:spacing w:after="283" w:before="0" w:line="200" w:lineRule="atLeast"/>
        <w:ind w:firstLine="567" w:left="0" w:right="0"/>
      </w:pPr>
      <w:r>
        <w:rPr>
          <w:sz w:val="20"/>
          <w:szCs w:val="20"/>
        </w:rPr>
        <w:tab/>
      </w:r>
      <w:r>
        <w:rPr>
          <w:rFonts w:ascii="DejaVu Sans" w:hAnsi="DejaVu Sans"/>
          <w:sz w:val="20"/>
          <w:szCs w:val="20"/>
        </w:rPr>
        <w:t>The outlet, Stag creek, was completely impassable beyond the pool linking the lake with the creek.  At low water levels, entrance to the pool from the lake would also be difficult due to rocks and woody debris.  The shoreline of the pool was completely undisturbed save for a small section that had been cleared near the mouth of the creek which was strewn with garbage and abandoned household items.  Uprooted aquatic plant masses accumulated at the entrance to the pool from the lake (Figure 6).  The pool had numerous masses of Eurasian milfoil and the bottom was covered in low-growing Canada waterweed (Figure 7).</w:t>
      </w:r>
    </w:p>
    <w:p>
      <w:pPr>
        <w:pStyle w:val="style36"/>
        <w:keepNext/>
        <w:spacing w:after="283" w:before="0" w:line="200" w:lineRule="atLeast"/>
        <w:ind w:firstLine="15" w:left="0" w:right="0"/>
      </w:pPr>
      <w:r>
        <w:rPr>
          <w:rFonts w:ascii="DejaVu Sans" w:hAnsi="DejaVu Sans"/>
          <w:b/>
          <w:bCs/>
          <w:i w:val="false"/>
          <w:iCs w:val="false"/>
          <w:color w:val="000000"/>
          <w:sz w:val="18"/>
          <w:szCs w:val="18"/>
        </w:rPr>
        <w:t>Figure 6. Uprooted aquatic plant masses at the outlet of Lac Bernard.</w:t>
      </w:r>
    </w:p>
    <w:p>
      <w:pPr>
        <w:pStyle w:val="style0"/>
        <w:tabs>
          <w:tab w:leader="none" w:pos="0" w:val="left"/>
          <w:tab w:leader="none" w:pos="6073" w:val="left"/>
        </w:tabs>
        <w:spacing w:after="283" w:before="0" w:line="200" w:lineRule="atLeast"/>
        <w:ind w:firstLine="567" w:left="-720" w:right="0"/>
      </w:pPr>
      <w:r>
        <w:rPr/>
        <w:drawing>
          <wp:inline distB="0" distL="0" distR="0" distT="0">
            <wp:extent cx="4699000" cy="315023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4699000" cy="3150235"/>
                    </a:xfrm>
                    <a:prstGeom prst="rect">
                      <a:avLst/>
                    </a:prstGeom>
                    <a:noFill/>
                    <a:ln w="9525">
                      <a:noFill/>
                      <a:miter lim="800000"/>
                      <a:headEnd/>
                      <a:tailEnd/>
                    </a:ln>
                  </pic:spPr>
                </pic:pic>
              </a:graphicData>
            </a:graphic>
          </wp:inline>
        </w:drawing>
      </w:r>
      <w:r>
        <w:rPr>
          <w:rFonts w:cs="Calibri" w:eastAsia="Calibri"/>
          <w:sz w:val="20"/>
          <w:szCs w:val="20"/>
        </w:rPr>
        <w:t xml:space="preserve"> </w:t>
      </w:r>
    </w:p>
    <w:p>
      <w:pPr>
        <w:pStyle w:val="style36"/>
        <w:keepNext/>
        <w:spacing w:after="283" w:before="0" w:line="200" w:lineRule="atLeast"/>
        <w:ind w:firstLine="567" w:left="-720" w:right="0"/>
      </w:pPr>
      <w:r>
        <w:rPr>
          <w:rFonts w:ascii="DejaVu Sans" w:hAnsi="DejaVu Sans"/>
          <w:b/>
          <w:bCs/>
          <w:i w:val="false"/>
          <w:iCs w:val="false"/>
          <w:color w:val="000000"/>
          <w:sz w:val="20"/>
          <w:szCs w:val="20"/>
        </w:rPr>
        <w:t>Figure 7. Eurasian milfoil in the pool before the outlet of Lac Bernard</w:t>
      </w:r>
    </w:p>
    <w:p>
      <w:pPr>
        <w:pStyle w:val="style0"/>
        <w:tabs>
          <w:tab w:leader="none" w:pos="705" w:val="left"/>
          <w:tab w:leader="none" w:pos="7483" w:val="left"/>
        </w:tabs>
        <w:spacing w:after="283" w:before="0" w:line="200" w:lineRule="atLeast"/>
        <w:ind w:hanging="0" w:left="-15" w:right="0"/>
      </w:pPr>
      <w:r>
        <w:rPr/>
        <w:drawing>
          <wp:inline distB="0" distL="0" distR="0" distT="0">
            <wp:extent cx="4742180" cy="31591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4742180" cy="3159125"/>
                    </a:xfrm>
                    <a:prstGeom prst="rect">
                      <a:avLst/>
                    </a:prstGeom>
                    <a:noFill/>
                    <a:ln w="9525">
                      <a:noFill/>
                      <a:miter lim="800000"/>
                      <a:headEnd/>
                      <a:tailEnd/>
                    </a:ln>
                  </pic:spPr>
                </pic:pic>
              </a:graphicData>
            </a:graphic>
          </wp:inline>
        </w:drawing>
      </w:r>
    </w:p>
    <w:p>
      <w:pPr>
        <w:pStyle w:val="style0"/>
        <w:tabs>
          <w:tab w:leader="none" w:pos="709" w:val="left"/>
          <w:tab w:leader="none" w:pos="720" w:val="left"/>
        </w:tabs>
        <w:spacing w:after="283" w:before="0" w:line="200" w:lineRule="atLeast"/>
        <w:ind w:firstLine="567" w:left="0" w:right="0"/>
      </w:pPr>
      <w:r>
        <w:rPr>
          <w:sz w:val="20"/>
          <w:szCs w:val="20"/>
        </w:rPr>
        <w:tab/>
      </w:r>
      <w:r>
        <w:rPr>
          <w:rFonts w:ascii="DejaVu Sans" w:hAnsi="DejaVu Sans"/>
          <w:sz w:val="20"/>
          <w:szCs w:val="20"/>
        </w:rPr>
        <w:t xml:space="preserve">Stag creek is impassable due to a combination of boulders and a number of large beaver dams.   Recent beaver activity was limited to the first small dam which was constructed of small branches, some still with leaves.  The second dam was much more than a dam due to the debris that has collected thereupon over many years.  Some of the logs in the piles of debris are 40+ cm in diameter.  Other debris includes a folding chair and whole sections of dock.  </w:t>
        <w:tab/>
        <w:tab/>
      </w:r>
    </w:p>
    <w:p>
      <w:pPr>
        <w:pStyle w:val="style0"/>
        <w:tabs>
          <w:tab w:leader="none" w:pos="720" w:val="left"/>
          <w:tab w:leader="none" w:pos="7513" w:val="left"/>
        </w:tabs>
        <w:spacing w:after="283" w:before="0" w:line="200" w:lineRule="atLeast"/>
        <w:ind w:firstLine="567" w:left="0" w:right="0"/>
      </w:pPr>
      <w:r>
        <w:rPr/>
      </w:r>
    </w:p>
    <w:p>
      <w:pPr>
        <w:pStyle w:val="style6"/>
        <w:numPr>
          <w:ilvl w:val="5"/>
          <w:numId w:val="2"/>
        </w:numPr>
        <w:spacing w:after="283" w:before="0"/>
        <w:ind w:firstLine="567" w:left="-720" w:right="0"/>
      </w:pPr>
      <w:r>
        <w:rPr/>
        <w:t>Beaver activity</w:t>
      </w:r>
    </w:p>
    <w:p>
      <w:pPr>
        <w:pStyle w:val="style0"/>
        <w:spacing w:after="283" w:before="0" w:line="200" w:lineRule="atLeast"/>
        <w:ind w:firstLine="567" w:left="0" w:right="0"/>
      </w:pPr>
      <w:r>
        <w:rPr>
          <w:rFonts w:ascii="DejaVu Sans" w:hAnsi="DejaVu Sans"/>
          <w:sz w:val="20"/>
          <w:szCs w:val="20"/>
        </w:rPr>
        <w:t xml:space="preserve">Numerous beavers were observed while the shoreline photographs were being taken, however, relatively few beaver-felled trees were observed.  The inlets and outlet had dams impeding water flow and nine lodges were found throughout the rest of the lake (Figure 8).  It is difficult to assess whether the lodges were fully active or abandoned because much of the restoration of beaver lodges happens in the fall in preparation for winter therefore only the locations of the lodges were observed not their activity status.   </w:t>
      </w:r>
      <w:r>
        <w:rPr>
          <w:sz w:val="20"/>
          <w:szCs w:val="20"/>
        </w:rPr>
        <w:t xml:space="preserve">   </w:t>
      </w:r>
    </w:p>
    <w:p>
      <w:pPr>
        <w:pStyle w:val="style36"/>
        <w:keepNext/>
        <w:spacing w:after="283" w:before="0" w:line="200" w:lineRule="atLeast"/>
        <w:ind w:firstLine="567" w:left="-720" w:right="0"/>
      </w:pPr>
      <w:r>
        <w:rPr>
          <w:rFonts w:ascii="DejaVu Sans" w:hAnsi="DejaVu Sans"/>
          <w:b/>
          <w:bCs/>
          <w:i w:val="false"/>
          <w:iCs w:val="false"/>
          <w:color w:val="000000"/>
          <w:sz w:val="20"/>
          <w:szCs w:val="20"/>
        </w:rPr>
        <w:t>Figure 8.</w:t>
      </w:r>
      <w:r>
        <w:rPr>
          <w:color w:val="000000"/>
        </w:rPr>
        <w:t xml:space="preserve"> </w:t>
      </w:r>
      <w:r>
        <w:rPr>
          <w:rFonts w:ascii="DejaVu Sans" w:hAnsi="DejaVu Sans"/>
          <w:b/>
          <w:bCs/>
          <w:i w:val="false"/>
          <w:iCs w:val="false"/>
          <w:color w:val="000000"/>
          <w:sz w:val="20"/>
          <w:szCs w:val="20"/>
        </w:rPr>
        <w:t>Locations of beaver lodges and dams on Lac Bernard.</w:t>
      </w:r>
      <w:r>
        <w:rPr/>
        <w:t xml:space="preserve"> </w:t>
      </w:r>
    </w:p>
    <w:p>
      <w:pPr>
        <w:pStyle w:val="style0"/>
        <w:spacing w:after="283" w:before="0" w:line="200" w:lineRule="atLeast"/>
        <w:ind w:firstLine="567" w:left="-720" w:right="0"/>
      </w:pPr>
      <w:r>
        <w:rPr/>
        <w:drawing>
          <wp:inline distB="0" distL="0" distR="0" distT="0">
            <wp:extent cx="5949950" cy="41967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5949950" cy="4196715"/>
                    </a:xfrm>
                    <a:prstGeom prst="rect">
                      <a:avLst/>
                    </a:prstGeom>
                    <a:noFill/>
                    <a:ln w="9525">
                      <a:noFill/>
                      <a:miter lim="800000"/>
                      <a:headEnd/>
                      <a:tailEnd/>
                    </a:ln>
                  </pic:spPr>
                </pic:pic>
              </a:graphicData>
            </a:graphic>
          </wp:inline>
        </w:drawing>
      </w:r>
    </w:p>
    <w:p>
      <w:pPr>
        <w:pStyle w:val="style0"/>
        <w:spacing w:after="283" w:before="0" w:line="200" w:lineRule="atLeast"/>
        <w:ind w:firstLine="567" w:left="0" w:right="0"/>
      </w:pPr>
      <w:r>
        <w:rPr/>
      </w:r>
    </w:p>
    <w:p>
      <w:pPr>
        <w:pStyle w:val="style0"/>
        <w:spacing w:after="283" w:before="0" w:line="200" w:lineRule="atLeast"/>
        <w:ind w:firstLine="567" w:left="0" w:right="0"/>
      </w:pPr>
      <w:r>
        <w:rPr/>
      </w:r>
    </w:p>
    <w:p>
      <w:pPr>
        <w:pStyle w:val="style0"/>
        <w:spacing w:after="283" w:before="0" w:line="200" w:lineRule="atLeast"/>
        <w:ind w:firstLine="567" w:left="0" w:right="0"/>
      </w:pPr>
      <w:r>
        <w:rPr/>
      </w:r>
    </w:p>
    <w:p>
      <w:pPr>
        <w:pStyle w:val="style0"/>
        <w:spacing w:after="283" w:before="0" w:line="200" w:lineRule="atLeast"/>
        <w:ind w:firstLine="567" w:left="0" w:right="0"/>
      </w:pPr>
      <w:r>
        <w:rPr/>
      </w:r>
    </w:p>
    <w:p>
      <w:pPr>
        <w:pStyle w:val="style0"/>
        <w:spacing w:after="283" w:before="0" w:line="200" w:lineRule="atLeast"/>
        <w:ind w:firstLine="567" w:left="0" w:right="0"/>
      </w:pPr>
      <w:r>
        <w:rPr/>
      </w:r>
    </w:p>
    <w:p>
      <w:pPr>
        <w:pStyle w:val="style0"/>
        <w:spacing w:after="283" w:before="0" w:line="200" w:lineRule="atLeast"/>
        <w:ind w:firstLine="567" w:left="0" w:right="0"/>
      </w:pPr>
      <w:r>
        <w:rPr/>
      </w:r>
    </w:p>
    <w:p>
      <w:pPr>
        <w:pStyle w:val="style0"/>
        <w:spacing w:after="283" w:before="0" w:line="200" w:lineRule="atLeast"/>
        <w:ind w:firstLine="567" w:left="0" w:right="0"/>
      </w:pPr>
      <w:r>
        <w:rPr/>
      </w:r>
    </w:p>
    <w:p>
      <w:pPr>
        <w:pStyle w:val="style0"/>
        <w:spacing w:after="283" w:before="0" w:line="200" w:lineRule="atLeast"/>
        <w:ind w:firstLine="567" w:left="0" w:right="0"/>
      </w:pPr>
      <w:r>
        <w:rPr/>
      </w:r>
    </w:p>
    <w:p>
      <w:pPr>
        <w:pStyle w:val="style6"/>
        <w:numPr>
          <w:ilvl w:val="5"/>
          <w:numId w:val="2"/>
        </w:numPr>
        <w:spacing w:after="283" w:before="0"/>
        <w:ind w:firstLine="567" w:left="-720" w:right="0"/>
      </w:pPr>
      <w:r>
        <w:rPr/>
        <w:t xml:space="preserve">Aquatic plants </w:t>
      </w:r>
    </w:p>
    <w:p>
      <w:pPr>
        <w:pStyle w:val="style0"/>
        <w:spacing w:after="283" w:before="0" w:line="200" w:lineRule="atLeast"/>
        <w:ind w:firstLine="567" w:left="0" w:right="0"/>
      </w:pPr>
      <w:r>
        <w:rPr>
          <w:rFonts w:ascii="DejaVu Sans" w:hAnsi="DejaVu Sans"/>
          <w:sz w:val="20"/>
          <w:szCs w:val="20"/>
        </w:rPr>
        <w:tab/>
        <w:t>There were eleven areas found on the lake that had dense aquatic plant growth.  While it is difficult to define the exact extents of these areas, Figure 9 shows the locations and approximate shape and size of the plant masses.  For the most part, milfoil dominated the masses though there was extensive growth of waterweed in the bay before the Stag Creek outlet.</w:t>
      </w:r>
    </w:p>
    <w:p>
      <w:pPr>
        <w:pStyle w:val="style36"/>
        <w:keepNext/>
        <w:spacing w:after="283" w:before="0" w:line="200" w:lineRule="atLeast"/>
        <w:ind w:firstLine="567" w:left="-720" w:right="0"/>
      </w:pPr>
      <w:r>
        <w:rPr>
          <w:rFonts w:ascii="DejaVu Sans" w:hAnsi="DejaVu Sans"/>
          <w:b/>
          <w:bCs/>
          <w:i w:val="false"/>
          <w:iCs w:val="false"/>
          <w:color w:val="000000"/>
          <w:sz w:val="20"/>
          <w:szCs w:val="20"/>
        </w:rPr>
        <w:t>Figure 9. Locations of dense aquatic plant zones at Lac Bernard.</w:t>
      </w:r>
    </w:p>
    <w:p>
      <w:pPr>
        <w:pStyle w:val="style0"/>
        <w:spacing w:after="283" w:before="0" w:line="200" w:lineRule="atLeast"/>
        <w:ind w:firstLine="567" w:left="-720" w:right="0"/>
      </w:pPr>
      <w:r>
        <w:rPr/>
        <w:drawing>
          <wp:inline distB="0" distL="0" distR="0" distT="0">
            <wp:extent cx="5949950" cy="42005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5949950" cy="4200525"/>
                    </a:xfrm>
                    <a:prstGeom prst="rect">
                      <a:avLst/>
                    </a:prstGeom>
                    <a:noFill/>
                    <a:ln w="9525">
                      <a:noFill/>
                      <a:miter lim="800000"/>
                      <a:headEnd/>
                      <a:tailEnd/>
                    </a:ln>
                  </pic:spPr>
                </pic:pic>
              </a:graphicData>
            </a:graphic>
          </wp:inline>
        </w:drawing>
      </w:r>
    </w:p>
    <w:p>
      <w:pPr>
        <w:pStyle w:val="style0"/>
        <w:pageBreakBefore/>
        <w:spacing w:after="283" w:before="0" w:line="200" w:lineRule="atLeast"/>
        <w:ind w:firstLine="567" w:left="-720" w:right="0"/>
      </w:pPr>
      <w:r>
        <w:rPr/>
      </w:r>
    </w:p>
    <w:p>
      <w:pPr>
        <w:pStyle w:val="style6"/>
        <w:numPr>
          <w:ilvl w:val="5"/>
          <w:numId w:val="2"/>
        </w:numPr>
        <w:spacing w:after="283" w:before="0"/>
        <w:ind w:firstLine="567" w:left="-720" w:right="0"/>
      </w:pPr>
      <w:r>
        <w:rPr/>
        <w:t>Erosion zones</w:t>
      </w:r>
    </w:p>
    <w:p>
      <w:pPr>
        <w:pStyle w:val="style0"/>
        <w:spacing w:after="283" w:before="0" w:line="200" w:lineRule="atLeast"/>
        <w:ind w:firstLine="567" w:left="0" w:right="0"/>
      </w:pPr>
      <w:r>
        <w:rPr>
          <w:rFonts w:ascii="DejaVu Sans" w:hAnsi="DejaVu Sans"/>
          <w:sz w:val="20"/>
          <w:szCs w:val="20"/>
        </w:rPr>
        <w:tab/>
        <w:t>Figure 10 illustrates the few areas around the lake showing obvious erosion.  The area called “The Narrows”, joining the two large sections of the lake, displayed definite signs of erosion: areas of exposed soil and tree roots, receding shoreline and slumping/overturned trees.  Boat traffic at The Narrows is very high and the waves hitting the shoreline have little open water to dissipate their size, thus the wave action at The Narrows is of particular concern.  Minimal natural erosion should be expected at The Narrows given the prevailing wind at various times of the year and the catchment area however, it would not account for the severity of the erosion observed.  Dome Island also showed a small area of significant erosion, the cause of which is likely natural.</w:t>
      </w:r>
    </w:p>
    <w:p>
      <w:pPr>
        <w:pStyle w:val="style0"/>
        <w:spacing w:after="283" w:before="0" w:line="200" w:lineRule="atLeast"/>
        <w:ind w:firstLine="567" w:left="0" w:right="0"/>
      </w:pPr>
      <w:r>
        <w:rPr>
          <w:rFonts w:ascii="DejaVu Sans" w:hAnsi="DejaVu Sans"/>
          <w:sz w:val="20"/>
          <w:szCs w:val="20"/>
        </w:rPr>
        <w:tab/>
        <w:t xml:space="preserve">There were three areas that had high percentages of riprap and retaining wall reinforcement (Figure 10).  The increased incidence of artificial reinforcement is often an indicator of erosion as cottagers add substrate to mitigate the loss of shoreline.  It is suspected that these areas would also show signs of erosion had the shoreline not been reinforced.   </w:t>
      </w:r>
    </w:p>
    <w:p>
      <w:pPr>
        <w:pStyle w:val="style0"/>
        <w:spacing w:after="283" w:before="0" w:line="200" w:lineRule="atLeast"/>
        <w:ind w:firstLine="567" w:left="0" w:right="0"/>
      </w:pPr>
      <w:r>
        <w:rPr>
          <w:rFonts w:ascii="DejaVu Sans" w:hAnsi="DejaVu Sans"/>
          <w:sz w:val="20"/>
          <w:szCs w:val="20"/>
        </w:rPr>
        <w:t>Narrow passages, also shown on Figure 10, are at risk for erosion due to wave action and should be monitored to ensure the stability of the shoreline.</w:t>
      </w:r>
    </w:p>
    <w:p>
      <w:pPr>
        <w:pStyle w:val="style36"/>
        <w:keepNext/>
        <w:spacing w:after="283" w:before="0" w:line="200" w:lineRule="atLeast"/>
        <w:ind w:firstLine="567" w:left="-720" w:right="0"/>
      </w:pPr>
      <w:r>
        <w:rPr>
          <w:rFonts w:ascii="DejaVu Sans" w:hAnsi="DejaVu Sans"/>
          <w:b/>
          <w:bCs/>
          <w:i w:val="false"/>
          <w:iCs w:val="false"/>
          <w:color w:val="000000"/>
          <w:sz w:val="20"/>
          <w:szCs w:val="20"/>
        </w:rPr>
        <w:t>Figure 10. Location of erosion zones and narrow passages at Lac Bernard.</w:t>
      </w:r>
    </w:p>
    <w:p>
      <w:pPr>
        <w:pStyle w:val="style0"/>
        <w:spacing w:after="283" w:before="0" w:line="200" w:lineRule="atLeast"/>
        <w:ind w:firstLine="567" w:left="-720" w:right="0"/>
      </w:pPr>
      <w:r>
        <w:rPr/>
        <w:drawing>
          <wp:inline distB="0" distL="0" distR="0" distT="0">
            <wp:extent cx="6109970" cy="404368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6109970" cy="4043680"/>
                    </a:xfrm>
                    <a:prstGeom prst="rect">
                      <a:avLst/>
                    </a:prstGeom>
                    <a:noFill/>
                    <a:ln w="9525">
                      <a:noFill/>
                      <a:miter lim="800000"/>
                      <a:headEnd/>
                      <a:tailEnd/>
                    </a:ln>
                  </pic:spPr>
                </pic:pic>
              </a:graphicData>
            </a:graphic>
          </wp:inline>
        </w:drawing>
      </w:r>
    </w:p>
    <w:p>
      <w:pPr>
        <w:pStyle w:val="style0"/>
        <w:spacing w:after="283" w:before="0" w:line="200" w:lineRule="atLeast"/>
        <w:ind w:hanging="0" w:left="0" w:right="0"/>
      </w:pPr>
      <w:r>
        <w:rPr/>
      </w:r>
    </w:p>
    <w:p>
      <w:pPr>
        <w:pStyle w:val="style6"/>
        <w:numPr>
          <w:ilvl w:val="5"/>
          <w:numId w:val="2"/>
        </w:numPr>
        <w:spacing w:after="283" w:before="0"/>
        <w:ind w:firstLine="567" w:left="-720" w:right="0"/>
      </w:pPr>
      <w:r>
        <w:rPr>
          <w:b/>
        </w:rPr>
        <w:t>Espèces envahissantes</w:t>
      </w:r>
    </w:p>
    <w:p>
      <w:pPr>
        <w:pStyle w:val="style0"/>
        <w:spacing w:after="283" w:before="0" w:line="200" w:lineRule="atLeast"/>
        <w:ind w:firstLine="567" w:left="0" w:right="0"/>
      </w:pPr>
      <w:r>
        <w:rPr>
          <w:rFonts w:ascii="DejaVu Sans" w:hAnsi="DejaVu Sans"/>
          <w:sz w:val="20"/>
          <w:szCs w:val="20"/>
        </w:rPr>
        <w:t xml:space="preserve">Les spécimens de myriophylle prélevés au lac Bernard ont été comparés à ceux contenus dans le </w:t>
      </w:r>
      <w:r>
        <w:rPr>
          <w:rFonts w:ascii="DejaVu Sans" w:hAnsi="DejaVu Sans"/>
          <w:i/>
          <w:sz w:val="20"/>
          <w:szCs w:val="20"/>
        </w:rPr>
        <w:t>Invasive Aquatic and Wetland Plant Identification Guide</w:t>
      </w:r>
      <w:r>
        <w:rPr>
          <w:rFonts w:ascii="DejaVu Sans" w:hAnsi="DejaVu Sans"/>
          <w:sz w:val="20"/>
          <w:szCs w:val="20"/>
        </w:rPr>
        <w:t xml:space="preserve"> de l’État du Connecticut ainsi qu’à des photographies exposées dans leur herbier en ligne, et ils ont pu être identifiés grâce à la collaboration de l’écologiste spécialiste du milieu aquatique, Paul Hamilton du Musée canadien de la nature. Les plantes recueillies au lac Bernard exhibaient les caractéristiques morphologiques du myriophylle à épis (</w:t>
      </w:r>
      <w:r>
        <w:rPr>
          <w:rFonts w:ascii="DejaVu Sans" w:hAnsi="DejaVu Sans"/>
          <w:i/>
          <w:sz w:val="20"/>
          <w:szCs w:val="20"/>
          <w:lang w:val="en-US"/>
        </w:rPr>
        <w:t>Myriophyllum spicatum L.</w:t>
      </w:r>
      <w:r>
        <w:rPr>
          <w:rFonts w:ascii="DejaVu Sans" w:hAnsi="DejaVu Sans"/>
          <w:sz w:val="20"/>
          <w:szCs w:val="20"/>
        </w:rPr>
        <w:t>) :</w:t>
      </w:r>
    </w:p>
    <w:p>
      <w:pPr>
        <w:pStyle w:val="style43"/>
        <w:numPr>
          <w:ilvl w:val="0"/>
          <w:numId w:val="3"/>
        </w:numPr>
        <w:spacing w:after="283" w:before="0" w:line="200" w:lineRule="atLeast"/>
        <w:ind w:firstLine="567" w:left="0" w:right="0"/>
      </w:pPr>
      <w:r>
        <w:rPr>
          <w:rFonts w:ascii="DejaVu Sans" w:hAnsi="DejaVu Sans"/>
          <w:sz w:val="20"/>
          <w:szCs w:val="20"/>
        </w:rPr>
        <w:t>des feuilles finement découpées de moins de 5 cm de long, présentant 14 à 24 folioles de chaque côté de la nervure principale;</w:t>
      </w:r>
    </w:p>
    <w:p>
      <w:pPr>
        <w:pStyle w:val="style43"/>
        <w:numPr>
          <w:ilvl w:val="0"/>
          <w:numId w:val="3"/>
        </w:numPr>
        <w:spacing w:after="283" w:before="0" w:line="200" w:lineRule="atLeast"/>
        <w:ind w:firstLine="567" w:left="0" w:right="0"/>
      </w:pPr>
      <w:r>
        <w:rPr>
          <w:rFonts w:ascii="DejaVu Sans" w:hAnsi="DejaVu Sans"/>
          <w:sz w:val="20"/>
          <w:szCs w:val="20"/>
        </w:rPr>
        <w:t>des feuilles verticillées autour de la tige (3 à 6 feuilles par verticille);</w:t>
      </w:r>
    </w:p>
    <w:p>
      <w:pPr>
        <w:pStyle w:val="style43"/>
        <w:numPr>
          <w:ilvl w:val="0"/>
          <w:numId w:val="3"/>
        </w:numPr>
        <w:spacing w:after="283" w:before="0" w:line="200" w:lineRule="atLeast"/>
        <w:ind w:firstLine="567" w:left="0" w:right="0"/>
      </w:pPr>
      <w:r>
        <w:rPr>
          <w:rFonts w:ascii="DejaVu Sans" w:hAnsi="DejaVu Sans"/>
          <w:sz w:val="20"/>
          <w:szCs w:val="20"/>
        </w:rPr>
        <w:t>des fleurs posées sur une tige émergée d’environ 20 cm au-dessus de la surface de l’eau, 4 fleurs par verticille.</w:t>
      </w:r>
    </w:p>
    <w:p>
      <w:pPr>
        <w:pStyle w:val="style43"/>
        <w:spacing w:after="283" w:before="0" w:line="200" w:lineRule="atLeast"/>
        <w:ind w:firstLine="567" w:left="0" w:right="0"/>
      </w:pPr>
      <w:r>
        <w:rPr/>
      </w:r>
    </w:p>
    <w:p>
      <w:pPr>
        <w:pStyle w:val="style36"/>
        <w:spacing w:after="283" w:before="0"/>
        <w:ind w:firstLine="567" w:left="0" w:right="0"/>
      </w:pPr>
      <w:r>
        <w:rPr>
          <w:rFonts w:ascii="DejaVu Sans" w:hAnsi="DejaVu Sans"/>
          <w:b/>
          <w:bCs/>
          <w:i w:val="false"/>
          <w:iCs w:val="false"/>
          <w:sz w:val="20"/>
          <w:szCs w:val="20"/>
        </w:rPr>
        <w:t>Figure 11. Eurasian milfoil collected at Lac Bernard.</w:t>
      </w:r>
    </w:p>
    <w:p>
      <w:pPr>
        <w:pStyle w:val="style43"/>
        <w:spacing w:after="283" w:before="0" w:line="200" w:lineRule="atLeast"/>
        <w:ind w:firstLine="567" w:left="0" w:right="0"/>
      </w:pPr>
      <w:r>
        <w:rPr/>
        <w:drawing>
          <wp:inline distB="0" distL="0" distR="0" distT="0">
            <wp:extent cx="2925445" cy="41021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2925445" cy="4102100"/>
                    </a:xfrm>
                    <a:prstGeom prst="rect">
                      <a:avLst/>
                    </a:prstGeom>
                    <a:noFill/>
                    <a:ln w="9525">
                      <a:noFill/>
                      <a:miter lim="800000"/>
                      <a:headEnd/>
                      <a:tailEnd/>
                    </a:ln>
                  </pic:spPr>
                </pic:pic>
              </a:graphicData>
            </a:graphic>
          </wp:inline>
        </w:drawing>
      </w:r>
    </w:p>
    <w:p>
      <w:pPr>
        <w:pStyle w:val="style0"/>
        <w:spacing w:after="283" w:before="0" w:line="200" w:lineRule="atLeast"/>
        <w:ind w:firstLine="567" w:left="0" w:right="0"/>
      </w:pPr>
      <w:r>
        <w:rPr/>
      </w:r>
    </w:p>
    <w:p>
      <w:pPr>
        <w:pStyle w:val="style0"/>
        <w:tabs>
          <w:tab w:leader="none" w:pos="0" w:val="left"/>
          <w:tab w:leader="none" w:pos="720" w:val="left"/>
        </w:tabs>
        <w:spacing w:after="283" w:before="0" w:line="200" w:lineRule="atLeast"/>
        <w:ind w:hanging="15" w:left="0" w:right="-15"/>
      </w:pPr>
      <w:r>
        <w:rPr>
          <w:rFonts w:ascii="DejaVu Sans" w:hAnsi="DejaVu Sans"/>
          <w:sz w:val="20"/>
          <w:szCs w:val="20"/>
        </w:rPr>
        <w:t>La salicaire pourpre a aussi été trouvée en plusieurs endroits. Aucune moule zébrée n’a été observée.</w:t>
      </w:r>
    </w:p>
    <w:p>
      <w:pPr>
        <w:pStyle w:val="style3"/>
        <w:numPr>
          <w:ilvl w:val="2"/>
          <w:numId w:val="2"/>
        </w:numPr>
        <w:spacing w:after="283" w:before="0"/>
        <w:ind w:firstLine="567" w:left="-720" w:right="0"/>
      </w:pPr>
      <w:r>
        <w:rPr>
          <w:b/>
        </w:rPr>
        <w:t>Conclusion</w:t>
      </w:r>
    </w:p>
    <w:p>
      <w:pPr>
        <w:pStyle w:val="style0"/>
        <w:spacing w:after="283" w:before="0" w:line="200" w:lineRule="atLeast"/>
        <w:ind w:firstLine="567" w:left="0" w:right="0"/>
      </w:pPr>
      <w:r>
        <w:rPr>
          <w:rFonts w:ascii="DejaVu Sans" w:hAnsi="DejaVu Sans"/>
          <w:sz w:val="20"/>
          <w:szCs w:val="20"/>
        </w:rPr>
        <w:t xml:space="preserve">En général, le lac est en assez bonne santé. Une attention particulière doit être portée à </w:t>
      </w:r>
      <w:r>
        <w:rPr>
          <w:rFonts w:ascii="DejaVu Sans" w:hAnsi="DejaVu Sans"/>
          <w:color w:val="000000"/>
          <w:sz w:val="20"/>
          <w:szCs w:val="20"/>
        </w:rPr>
        <w:t>la dégradation des rives par l’activité</w:t>
      </w:r>
      <w:r>
        <w:rPr>
          <w:rFonts w:ascii="DejaVu Sans" w:hAnsi="DejaVu Sans"/>
          <w:color w:val="FF0000"/>
          <w:sz w:val="20"/>
          <w:szCs w:val="20"/>
        </w:rPr>
        <w:t xml:space="preserve"> </w:t>
      </w:r>
      <w:r>
        <w:rPr>
          <w:rFonts w:ascii="DejaVu Sans" w:hAnsi="DejaVu Sans"/>
          <w:sz w:val="20"/>
          <w:szCs w:val="20"/>
        </w:rPr>
        <w:t>anthropique, à l’érosion et à la présence du myriophylle à épi afin d’aider à conserver l’intégrité écologique du lac.</w:t>
      </w:r>
    </w:p>
    <w:p>
      <w:pPr>
        <w:pStyle w:val="style0"/>
        <w:spacing w:after="283" w:before="0" w:line="200" w:lineRule="atLeast"/>
        <w:ind w:firstLine="567" w:left="0" w:right="0"/>
      </w:pPr>
      <w:r>
        <w:rPr>
          <w:rFonts w:ascii="DejaVu Sans" w:hAnsi="DejaVu Sans"/>
          <w:sz w:val="20"/>
          <w:szCs w:val="20"/>
        </w:rPr>
        <w:t xml:space="preserve">Presque la moitié de la rive est non perturbée et de nombreux propriétaires ont pris des moyens pour restaurer leurs berges. Mais en général, là où il y a un chalet, il y a dégradation de la rive. Il est tout à fait naturel de vouloir une vue sur le lac, une aire d’accès au plan d’eau et une aire dédiée aux embarcations. Cependant, afin de maintenir la qualité de vie des propriétaires de chalets autour du lac, ce dernier doit être en santé et l’environnement sécuritaire pour les activités récréatives. Apporter certaines modifications telles que la construction de quais plus petits, l’ajout de plantes indigènes le long de la rive et l’élimination des enrochements permettraient aux bandes riveraines de </w:t>
      </w:r>
      <w:r>
        <w:rPr>
          <w:rFonts w:ascii="DejaVu Sans" w:hAnsi="DejaVu Sans"/>
          <w:color w:val="000000"/>
          <w:sz w:val="20"/>
          <w:szCs w:val="20"/>
        </w:rPr>
        <w:t>favoriser l’intégrité écologique du lac</w:t>
      </w:r>
      <w:r>
        <w:rPr>
          <w:rFonts w:ascii="DejaVu Sans" w:hAnsi="DejaVu Sans"/>
          <w:sz w:val="20"/>
          <w:szCs w:val="20"/>
        </w:rPr>
        <w:t xml:space="preserve">. </w:t>
      </w:r>
    </w:p>
    <w:p>
      <w:pPr>
        <w:pStyle w:val="style0"/>
        <w:spacing w:after="283" w:before="0" w:line="200" w:lineRule="atLeast"/>
        <w:ind w:firstLine="567" w:left="0" w:right="0"/>
      </w:pPr>
      <w:r>
        <w:rPr>
          <w:rFonts w:ascii="DejaVu Sans" w:hAnsi="DejaVu Sans"/>
          <w:sz w:val="20"/>
          <w:szCs w:val="20"/>
        </w:rPr>
        <w:t xml:space="preserve">L’érosion (ainsi que certaines actions prises par les propriétaires pour l’enrayer) constitue une grande menace pour la rive naturelle du lac Bernard. Afin de contrer l’érosion, les rives de plusieurs propriétés ont été renforcées artificiellement, en particulier à l’aide d’enrochements. Il faudrait contrôler l’érosion en utilisant des solutions plus écologiques menant à la restauration de la rive en plantant des végétaux </w:t>
      </w:r>
      <w:r>
        <w:rPr>
          <w:rFonts w:ascii="DejaVu Sans" w:hAnsi="DejaVu Sans"/>
          <w:color w:val="000000"/>
          <w:sz w:val="20"/>
          <w:szCs w:val="20"/>
        </w:rPr>
        <w:t>indigènes</w:t>
      </w:r>
      <w:r>
        <w:rPr>
          <w:rFonts w:ascii="DejaVu Sans" w:hAnsi="DejaVu Sans"/>
          <w:color w:val="FF0000"/>
          <w:sz w:val="20"/>
          <w:szCs w:val="20"/>
        </w:rPr>
        <w:t xml:space="preserve"> </w:t>
      </w:r>
      <w:r>
        <w:rPr>
          <w:rFonts w:ascii="DejaVu Sans" w:hAnsi="DejaVu Sans"/>
          <w:sz w:val="20"/>
          <w:szCs w:val="20"/>
        </w:rPr>
        <w:t>et en évitant d’enlever les débris naturels. Le renforcement à l’aide d’enrochements et de murs de soutènement diminue grandement l’intégrité écologique de la rive et devrait être évité. On pourrait minimiser l’érosion observée dans les zones de passage étroit  en faisant des efforts pour diminuer la taille des vagues qui frappent la rive. Ceci peut être fait au moyen d’estacades flottantes et en interdisant le sillage dans certaines zones.</w:t>
      </w:r>
    </w:p>
    <w:p>
      <w:pPr>
        <w:pStyle w:val="style0"/>
        <w:spacing w:after="283" w:before="0" w:line="200" w:lineRule="atLeast"/>
        <w:ind w:firstLine="567" w:left="0" w:right="0"/>
      </w:pPr>
      <w:r>
        <w:rPr>
          <w:rFonts w:ascii="DejaVu Sans" w:hAnsi="DejaVu Sans"/>
          <w:sz w:val="20"/>
          <w:szCs w:val="20"/>
        </w:rPr>
        <w:t xml:space="preserve">La circulation des bateaux a aussi une influence sur la propagation du myriophylle </w:t>
      </w:r>
      <w:r>
        <w:rPr>
          <w:rFonts w:ascii="DejaVu Sans" w:hAnsi="DejaVu Sans"/>
          <w:color w:val="000000"/>
          <w:sz w:val="20"/>
          <w:szCs w:val="20"/>
        </w:rPr>
        <w:t>à épis</w:t>
      </w:r>
      <w:r>
        <w:rPr>
          <w:rFonts w:ascii="DejaVu Sans" w:hAnsi="DejaVu Sans"/>
          <w:sz w:val="20"/>
          <w:szCs w:val="20"/>
        </w:rPr>
        <w:t xml:space="preserve"> : un seul fragment de cette plante </w:t>
      </w:r>
      <w:r>
        <w:rPr>
          <w:rFonts w:ascii="DejaVu Sans" w:hAnsi="DejaVu Sans"/>
          <w:color w:val="000000"/>
          <w:sz w:val="20"/>
          <w:szCs w:val="20"/>
        </w:rPr>
        <w:t>coupé</w:t>
      </w:r>
      <w:r>
        <w:rPr>
          <w:rFonts w:ascii="DejaVu Sans" w:hAnsi="DejaVu Sans"/>
          <w:sz w:val="20"/>
          <w:szCs w:val="20"/>
        </w:rPr>
        <w:t xml:space="preserve"> par l’hélice d’un bateau suffit pour qu’elle se reproduise. Cette espèce envahissante de myriophylle en vient à former des masses extrêmement denses qui peuvent entraver les activités récréatives, empêcher la circulation de l’eau, accroître les taux de sédimentation localisée et réduire la biodiversité de la flore et de la faune. Afin de gérer la propagation du myriophylle à épi, il est essentiel de règlementer le nombre de bateaux </w:t>
      </w:r>
      <w:r>
        <w:rPr>
          <w:rFonts w:ascii="DejaVu Sans" w:hAnsi="DejaVu Sans"/>
          <w:color w:val="000000"/>
          <w:sz w:val="20"/>
          <w:szCs w:val="20"/>
        </w:rPr>
        <w:t xml:space="preserve">sur le lac ainsi que </w:t>
      </w:r>
      <w:r>
        <w:rPr>
          <w:rFonts w:ascii="DejaVu Sans" w:hAnsi="DejaVu Sans"/>
          <w:sz w:val="20"/>
          <w:szCs w:val="20"/>
        </w:rPr>
        <w:t xml:space="preserve">la vitesse de circulation (surtout </w:t>
      </w:r>
      <w:r>
        <w:rPr>
          <w:rFonts w:ascii="DejaVu Sans" w:hAnsi="DejaVu Sans"/>
          <w:color w:val="000000"/>
          <w:sz w:val="20"/>
          <w:szCs w:val="20"/>
        </w:rPr>
        <w:t>en bordure de la rive où se trouvent les masses de myriophylles)</w:t>
      </w:r>
      <w:r>
        <w:rPr>
          <w:rFonts w:ascii="DejaVu Sans" w:hAnsi="DejaVu Sans"/>
          <w:sz w:val="20"/>
          <w:szCs w:val="20"/>
        </w:rPr>
        <w:t>.</w:t>
      </w:r>
    </w:p>
    <w:p>
      <w:pPr>
        <w:pStyle w:val="style0"/>
        <w:spacing w:after="283" w:before="0" w:line="200" w:lineRule="atLeast"/>
        <w:ind w:firstLine="567" w:left="0" w:right="0"/>
      </w:pPr>
      <w:r>
        <w:rPr>
          <w:rFonts w:ascii="DejaVu Sans" w:hAnsi="DejaVu Sans"/>
          <w:sz w:val="20"/>
          <w:szCs w:val="20"/>
        </w:rPr>
        <w:t xml:space="preserve">Afin de faire en sorte que le lac demeure un lieu de récréation et de relaxation, il est important d’informer les propriétaires de chalets de l’importance de ces enjeux pour la santé du plan d’eau. Les propriétaires doivent être conscientisés et prendre des décisions qui aideront l’écologie du lac. L’intégrité de la rive doit être protégée et les embarcations, en particulier celles qui produisent de grosses vagues, doivent faire l’objet d’une conduite écologiquement responsable. De petites actions entreprises maintenant </w:t>
      </w:r>
      <w:r>
        <w:rPr>
          <w:rFonts w:ascii="DejaVu Sans" w:hAnsi="DejaVu Sans"/>
          <w:color w:val="000000"/>
          <w:sz w:val="20"/>
          <w:szCs w:val="20"/>
        </w:rPr>
        <w:t>auront</w:t>
      </w:r>
      <w:r>
        <w:rPr>
          <w:rFonts w:ascii="DejaVu Sans" w:hAnsi="DejaVu Sans"/>
          <w:sz w:val="20"/>
          <w:szCs w:val="20"/>
        </w:rPr>
        <w:t xml:space="preserve"> un impact très bénéfique sur la santé du lac, et ce pour des années à venir.</w:t>
      </w:r>
    </w:p>
    <w:p>
      <w:pPr>
        <w:pStyle w:val="style0"/>
        <w:pageBreakBefore/>
      </w:pPr>
      <w:r>
        <w:rPr/>
      </w:r>
    </w:p>
    <w:p>
      <w:pPr>
        <w:pStyle w:val="style0"/>
      </w:pPr>
      <w:r>
        <w:rPr/>
      </w:r>
    </w:p>
    <w:p>
      <w:pPr>
        <w:pStyle w:val="style0"/>
      </w:pPr>
      <w:r>
        <w:rPr/>
      </w:r>
    </w:p>
    <w:p>
      <w:pPr>
        <w:pStyle w:val="style0"/>
      </w:pPr>
      <w:r>
        <w:rPr/>
      </w:r>
    </w:p>
    <w:p>
      <w:pPr>
        <w:pStyle w:val="style0"/>
      </w:pPr>
      <w:r>
        <w:rPr/>
      </w:r>
    </w:p>
    <w:p>
      <w:pPr>
        <w:pStyle w:val="style0"/>
        <w:spacing w:after="0" w:before="0"/>
      </w:pPr>
      <w:r>
        <w:rPr>
          <w:sz w:val="20"/>
          <w:szCs w:val="20"/>
        </w:rPr>
        <w:t>Online Resources</w:t>
      </w:r>
    </w:p>
    <w:p>
      <w:pPr>
        <w:pStyle w:val="style0"/>
        <w:spacing w:after="0" w:before="0"/>
      </w:pPr>
      <w:r>
        <w:rPr/>
      </w:r>
    </w:p>
    <w:p>
      <w:pPr>
        <w:pStyle w:val="style0"/>
        <w:spacing w:after="0" w:before="0"/>
      </w:pPr>
      <w:r>
        <w:rPr/>
      </w:r>
    </w:p>
    <w:p>
      <w:pPr>
        <w:pStyle w:val="style0"/>
        <w:spacing w:after="60" w:before="0"/>
      </w:pPr>
      <w:r>
        <w:rPr>
          <w:sz w:val="20"/>
          <w:szCs w:val="20"/>
        </w:rPr>
        <w:t>Shoreline ecology</w:t>
      </w:r>
    </w:p>
    <w:p>
      <w:pPr>
        <w:pStyle w:val="style0"/>
        <w:spacing w:after="0" w:before="0"/>
      </w:pPr>
      <w:r>
        <w:rPr>
          <w:i/>
          <w:sz w:val="20"/>
          <w:szCs w:val="20"/>
        </w:rPr>
        <w:t>Ministère du Développement durable, de l’Environnement et des Parcs du Québec</w:t>
      </w:r>
    </w:p>
    <w:p>
      <w:pPr>
        <w:pStyle w:val="style0"/>
        <w:spacing w:after="0" w:before="0"/>
      </w:pPr>
      <w:hyperlink r:id="rId17">
        <w:r>
          <w:rPr>
            <w:rStyle w:val="style24"/>
            <w:rStyle w:val="style24"/>
            <w:sz w:val="20"/>
            <w:szCs w:val="20"/>
          </w:rPr>
          <w:t>http://www.mddep.gouv.qc.ca/eau/rives/richesse/index-en.htm</w:t>
        </w:r>
      </w:hyperlink>
    </w:p>
    <w:p>
      <w:pPr>
        <w:pStyle w:val="style0"/>
        <w:spacing w:after="0" w:before="0"/>
      </w:pPr>
      <w:r>
        <w:rPr>
          <w:i/>
          <w:sz w:val="20"/>
          <w:szCs w:val="20"/>
        </w:rPr>
        <w:t>Department of Fisheries and Oceans, Government of Canada</w:t>
      </w:r>
    </w:p>
    <w:p>
      <w:pPr>
        <w:pStyle w:val="style0"/>
        <w:spacing w:after="0" w:before="0"/>
      </w:pPr>
      <w:hyperlink r:id="rId18">
        <w:r>
          <w:rPr>
            <w:rStyle w:val="style24"/>
            <w:rStyle w:val="style24"/>
            <w:sz w:val="20"/>
            <w:szCs w:val="20"/>
          </w:rPr>
          <w:t>http://www.pac.dfo-mpo.gc.ca/habitat/reveg/index-eng.htm\</w:t>
        </w:r>
      </w:hyperlink>
    </w:p>
    <w:p>
      <w:pPr>
        <w:pStyle w:val="style0"/>
        <w:spacing w:after="0" w:before="0"/>
      </w:pPr>
      <w:r>
        <w:rPr>
          <w:i/>
          <w:sz w:val="20"/>
          <w:szCs w:val="20"/>
        </w:rPr>
        <w:t>US Environmental Protection Agency</w:t>
      </w:r>
    </w:p>
    <w:p>
      <w:pPr>
        <w:pStyle w:val="style0"/>
        <w:spacing w:after="0" w:before="0"/>
      </w:pPr>
      <w:hyperlink r:id="rId19">
        <w:r>
          <w:rPr>
            <w:rStyle w:val="style24"/>
            <w:rStyle w:val="style24"/>
            <w:sz w:val="20"/>
            <w:szCs w:val="20"/>
          </w:rPr>
          <w:t>http://water.epa.gov/type/lakes/shoreland.cfm</w:t>
        </w:r>
      </w:hyperlink>
    </w:p>
    <w:p>
      <w:pPr>
        <w:pStyle w:val="style0"/>
        <w:spacing w:after="0" w:before="0"/>
      </w:pPr>
      <w:r>
        <w:rPr>
          <w:i/>
          <w:sz w:val="20"/>
          <w:szCs w:val="20"/>
        </w:rPr>
        <w:t>State of Minnesota, Department of Natural Resources, Division of Fisheries</w:t>
      </w:r>
    </w:p>
    <w:p>
      <w:pPr>
        <w:pStyle w:val="style0"/>
        <w:spacing w:after="0" w:before="0"/>
      </w:pPr>
      <w:hyperlink r:id="rId20">
        <w:r>
          <w:rPr>
            <w:rStyle w:val="style24"/>
            <w:rStyle w:val="style24"/>
            <w:i/>
            <w:sz w:val="20"/>
            <w:szCs w:val="20"/>
          </w:rPr>
          <w:t>http://files.dnr.state.mn.us/assistance/backyard/shorelandmgmt/savewateredge.pdf</w:t>
        </w:r>
      </w:hyperlink>
    </w:p>
    <w:p>
      <w:pPr>
        <w:pStyle w:val="style0"/>
        <w:spacing w:after="0" w:before="0"/>
      </w:pPr>
      <w:r>
        <w:rPr/>
      </w:r>
    </w:p>
    <w:p>
      <w:pPr>
        <w:pStyle w:val="style0"/>
        <w:spacing w:after="0" w:before="0"/>
      </w:pPr>
      <w:r>
        <w:rPr>
          <w:sz w:val="20"/>
          <w:szCs w:val="20"/>
        </w:rPr>
        <w:t>Wetlands</w:t>
      </w:r>
    </w:p>
    <w:p>
      <w:pPr>
        <w:pStyle w:val="style0"/>
        <w:spacing w:after="0" w:before="0"/>
      </w:pPr>
      <w:r>
        <w:rPr>
          <w:i/>
          <w:sz w:val="20"/>
          <w:szCs w:val="20"/>
        </w:rPr>
        <w:t>Ministry of Natural Resources of Ontario</w:t>
      </w:r>
    </w:p>
    <w:p>
      <w:pPr>
        <w:pStyle w:val="style0"/>
        <w:spacing w:after="0" w:before="0"/>
      </w:pPr>
      <w:hyperlink r:id="rId21">
        <w:r>
          <w:rPr>
            <w:rStyle w:val="style24"/>
            <w:rStyle w:val="style24"/>
            <w:sz w:val="20"/>
            <w:szCs w:val="20"/>
          </w:rPr>
          <w:t>http://www.mnr.gov.on.ca/en/Business/Biodiversity/2ColumnSubPage/STDPROD_070619.html</w:t>
        </w:r>
      </w:hyperlink>
    </w:p>
    <w:p>
      <w:pPr>
        <w:pStyle w:val="style0"/>
        <w:spacing w:after="0" w:before="0"/>
      </w:pPr>
      <w:r>
        <w:rPr>
          <w:i/>
          <w:sz w:val="20"/>
          <w:szCs w:val="20"/>
        </w:rPr>
        <w:t>Hinterlands Who’s Who</w:t>
      </w:r>
    </w:p>
    <w:p>
      <w:pPr>
        <w:pStyle w:val="style0"/>
        <w:spacing w:after="0" w:before="0"/>
      </w:pPr>
      <w:hyperlink r:id="rId22">
        <w:r>
          <w:rPr>
            <w:rStyle w:val="style24"/>
            <w:rStyle w:val="style24"/>
            <w:sz w:val="20"/>
            <w:szCs w:val="20"/>
          </w:rPr>
          <w:t>http://www.hww.ca/en/where-they-live/wetlands.html</w:t>
        </w:r>
      </w:hyperlink>
    </w:p>
    <w:p>
      <w:pPr>
        <w:pStyle w:val="style0"/>
        <w:spacing w:after="0" w:before="0"/>
      </w:pPr>
      <w:r>
        <w:rPr/>
      </w:r>
    </w:p>
    <w:p>
      <w:pPr>
        <w:pStyle w:val="style0"/>
        <w:spacing w:after="0" w:before="0"/>
      </w:pPr>
      <w:r>
        <w:rPr>
          <w:sz w:val="20"/>
          <w:szCs w:val="20"/>
        </w:rPr>
        <w:t>Milfoil</w:t>
      </w:r>
    </w:p>
    <w:p>
      <w:pPr>
        <w:pStyle w:val="style0"/>
        <w:spacing w:after="0" w:before="0"/>
      </w:pPr>
      <w:r>
        <w:rPr>
          <w:i/>
          <w:sz w:val="20"/>
          <w:szCs w:val="20"/>
        </w:rPr>
        <w:t>State of Washington, Department of Ecology</w:t>
      </w:r>
    </w:p>
    <w:p>
      <w:pPr>
        <w:pStyle w:val="style0"/>
        <w:spacing w:after="0" w:before="0"/>
      </w:pPr>
      <w:hyperlink r:id="rId23">
        <w:r>
          <w:rPr>
            <w:rStyle w:val="style24"/>
            <w:rStyle w:val="style24"/>
            <w:sz w:val="20"/>
            <w:szCs w:val="20"/>
          </w:rPr>
          <w:t>http://www.ecy.wa.gov/programs/wq/plants/weeds/milfoil.html</w:t>
        </w:r>
      </w:hyperlink>
    </w:p>
    <w:p>
      <w:pPr>
        <w:pStyle w:val="style0"/>
        <w:spacing w:after="0" w:before="0"/>
      </w:pPr>
      <w:r>
        <w:rPr>
          <w:i/>
          <w:sz w:val="20"/>
          <w:szCs w:val="20"/>
        </w:rPr>
        <w:t xml:space="preserve">State of Connecticut </w:t>
      </w:r>
      <w:r>
        <w:rPr>
          <w:bCs/>
          <w:i/>
          <w:sz w:val="20"/>
          <w:szCs w:val="20"/>
        </w:rPr>
        <w:t>Invasive Aquatic Plant Program</w:t>
      </w:r>
    </w:p>
    <w:p>
      <w:pPr>
        <w:pStyle w:val="style0"/>
        <w:spacing w:after="0" w:before="0"/>
      </w:pPr>
      <w:hyperlink r:id="rId24">
        <w:r>
          <w:rPr>
            <w:rStyle w:val="style24"/>
            <w:rStyle w:val="style24"/>
            <w:sz w:val="20"/>
            <w:szCs w:val="20"/>
          </w:rPr>
          <w:t>http://www.ct.gov/caes/cwp/view.asp?a=2799&amp;Q=459890&amp;caesNav=|</w:t>
        </w:r>
      </w:hyperlink>
    </w:p>
    <w:p>
      <w:pPr>
        <w:pStyle w:val="style0"/>
        <w:spacing w:after="0" w:before="0"/>
      </w:pPr>
      <w:r>
        <w:rPr>
          <w:i/>
          <w:sz w:val="20"/>
          <w:szCs w:val="20"/>
        </w:rPr>
        <w:t>US National Park Service</w:t>
      </w:r>
    </w:p>
    <w:p>
      <w:pPr>
        <w:pStyle w:val="style0"/>
        <w:spacing w:after="0" w:before="0"/>
      </w:pPr>
      <w:hyperlink r:id="rId25">
        <w:r>
          <w:rPr>
            <w:rStyle w:val="style24"/>
            <w:rStyle w:val="style24"/>
            <w:sz w:val="20"/>
            <w:szCs w:val="20"/>
          </w:rPr>
          <w:t>http://www.nps.gov/plants/alien/pubs/midatlantic/mysp.htm</w:t>
        </w:r>
      </w:hyperlink>
    </w:p>
    <w:p>
      <w:pPr>
        <w:pStyle w:val="style0"/>
        <w:spacing w:after="0" w:before="0"/>
      </w:pPr>
      <w:r>
        <w:rPr/>
      </w:r>
    </w:p>
    <w:p>
      <w:pPr>
        <w:pStyle w:val="style0"/>
        <w:spacing w:after="0" w:before="0"/>
      </w:pPr>
      <w:r>
        <w:rPr>
          <w:sz w:val="20"/>
          <w:szCs w:val="20"/>
        </w:rPr>
        <w:t>Beavers</w:t>
      </w:r>
    </w:p>
    <w:p>
      <w:pPr>
        <w:pStyle w:val="style0"/>
        <w:spacing w:after="0" w:before="0"/>
      </w:pPr>
      <w:r>
        <w:rPr>
          <w:i/>
          <w:sz w:val="20"/>
          <w:szCs w:val="20"/>
        </w:rPr>
        <w:t>Hinterland Who’s Who</w:t>
      </w:r>
    </w:p>
    <w:p>
      <w:pPr>
        <w:pStyle w:val="style0"/>
        <w:spacing w:after="0" w:before="0"/>
      </w:pPr>
      <w:hyperlink r:id="rId26">
        <w:r>
          <w:rPr>
            <w:rStyle w:val="style24"/>
            <w:rStyle w:val="style24"/>
            <w:i/>
            <w:sz w:val="20"/>
            <w:szCs w:val="20"/>
          </w:rPr>
          <w:t>http://www.hww.ca/en/species/mammals/beaver.html</w:t>
        </w:r>
      </w:hyperlink>
    </w:p>
    <w:p>
      <w:pPr>
        <w:pStyle w:val="style0"/>
        <w:spacing w:after="0" w:before="0"/>
      </w:pPr>
      <w:r>
        <w:rPr/>
      </w:r>
    </w:p>
    <w:p>
      <w:pPr>
        <w:pStyle w:val="style0"/>
        <w:spacing w:after="0" w:before="0"/>
      </w:pPr>
      <w:r>
        <w:rPr>
          <w:sz w:val="20"/>
          <w:szCs w:val="20"/>
        </w:rPr>
        <w:t>Erosion</w:t>
      </w:r>
    </w:p>
    <w:p>
      <w:pPr>
        <w:pStyle w:val="style0"/>
        <w:spacing w:after="0" w:before="0"/>
      </w:pPr>
      <w:r>
        <w:rPr>
          <w:i/>
          <w:sz w:val="20"/>
          <w:szCs w:val="20"/>
        </w:rPr>
        <w:t>Ministry of Natural Resources of Ontario</w:t>
      </w:r>
    </w:p>
    <w:p>
      <w:pPr>
        <w:pStyle w:val="style0"/>
        <w:spacing w:after="0" w:before="0"/>
      </w:pPr>
      <w:hyperlink r:id="rId27">
        <w:r>
          <w:rPr>
            <w:rStyle w:val="style24"/>
            <w:rStyle w:val="style24"/>
            <w:sz w:val="20"/>
            <w:szCs w:val="20"/>
          </w:rPr>
          <w:t>http://www.mnr.gov.on.ca/en/Business/Water/2ColumnSubPage/STEL02_165454.html</w:t>
        </w:r>
      </w:hyperlink>
    </w:p>
    <w:p>
      <w:pPr>
        <w:pStyle w:val="style0"/>
        <w:spacing w:after="0" w:before="0"/>
      </w:pPr>
      <w:r>
        <w:rPr>
          <w:i/>
          <w:sz w:val="20"/>
          <w:szCs w:val="20"/>
        </w:rPr>
        <w:t>Ministry of Natural Resources of Ontario via link from Gananoque Rivers Waterway Association</w:t>
      </w:r>
    </w:p>
    <w:p>
      <w:pPr>
        <w:pStyle w:val="style0"/>
        <w:spacing w:after="0" w:before="0"/>
      </w:pPr>
      <w:hyperlink r:id="rId28">
        <w:r>
          <w:rPr>
            <w:rStyle w:val="style24"/>
            <w:rStyle w:val="style24"/>
            <w:sz w:val="20"/>
            <w:szCs w:val="20"/>
          </w:rPr>
          <w:t>http://www.grwa.ca/mnr_docs/MNR%20Extension%20Notes/Shoreline%20Buffers.pdf</w:t>
        </w:r>
      </w:hyperlink>
    </w:p>
    <w:p>
      <w:pPr>
        <w:pStyle w:val="style0"/>
        <w:spacing w:after="0" w:before="0"/>
      </w:pPr>
      <w:hyperlink r:id="rId29">
        <w:r>
          <w:rPr>
            <w:rStyle w:val="style24"/>
            <w:rStyle w:val="style24"/>
            <w:sz w:val="20"/>
            <w:szCs w:val="20"/>
          </w:rPr>
          <w:t>http://www.grwa.ca/mnr_docs/MNR%20Extension%20Notes/Preserving%20and%20Restoring%20Natural%20Shorelines.pdf</w:t>
        </w:r>
      </w:hyperlink>
    </w:p>
    <w:p>
      <w:pPr>
        <w:pStyle w:val="style0"/>
        <w:spacing w:after="0" w:before="0"/>
      </w:pPr>
      <w:r>
        <w:rPr>
          <w:i/>
          <w:sz w:val="20"/>
          <w:szCs w:val="20"/>
        </w:rPr>
        <w:t>State of Vermont Agency of Natural Resources</w:t>
      </w:r>
    </w:p>
    <w:p>
      <w:pPr>
        <w:pStyle w:val="style0"/>
        <w:spacing w:after="0" w:before="0"/>
      </w:pPr>
      <w:hyperlink r:id="rId30">
        <w:r>
          <w:rPr>
            <w:rStyle w:val="style24"/>
            <w:rStyle w:val="style24"/>
            <w:sz w:val="20"/>
            <w:szCs w:val="20"/>
          </w:rPr>
          <w:t>http://www.anr.state.vt.us/dec/waterq/lakes/docs/lpseries/lp_lpseries3b.pdf</w:t>
        </w:r>
      </w:hyperlink>
    </w:p>
    <w:p>
      <w:pPr>
        <w:pStyle w:val="style0"/>
        <w:spacing w:after="283" w:before="0" w:line="200" w:lineRule="atLeast"/>
        <w:ind w:firstLine="567" w:left="0" w:right="0"/>
      </w:pPr>
      <w:r>
        <w:rPr/>
      </w:r>
    </w:p>
    <w:sectPr>
      <w:type w:val="nextPage"/>
      <w:pgSz w:h="15840" w:w="12240"/>
      <w:pgMar w:bottom="708" w:footer="0" w:gutter="0" w:header="0" w:left="1785" w:right="1785" w:top="1440"/>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 w:name="Symbol">
    <w:charset w:val="02"/>
    <w:family w:val="auto"/>
    <w:pitch w:val="variable"/>
  </w:font>
  <w:font w:name="Courier New">
    <w:charset w:val="80"/>
    <w:family w:val="modern"/>
    <w:pitch w:val="fixed"/>
  </w:font>
  <w:font w:name="Wingdings">
    <w:charset w:val="02"/>
    <w:family w:val="auto"/>
    <w:pitch w:val="default"/>
  </w:font>
</w:fonts>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3">
    <w:lvl w:ilvl="0">
      <w:start w:val="1"/>
      <w:numFmt w:val="bullet"/>
      <w:lvlText w:val=""/>
      <w:lvlJc w:val="left"/>
      <w:pPr>
        <w:ind w:hanging="360" w:left="1080"/>
      </w:pPr>
      <w:rPr>
        <w:rFonts w:ascii="Symbol" w:cs="Symbol" w:hAnsi="Symbol" w:hint="default"/>
      </w:rPr>
    </w:lvl>
    <w:lvl w:ilvl="1">
      <w:start w:val="1"/>
      <w:numFmt w:val="bullet"/>
      <w:lvlText w:val="o"/>
      <w:lvlJc w:val="left"/>
      <w:pPr>
        <w:ind w:hanging="360" w:left="1800"/>
      </w:pPr>
      <w:rPr>
        <w:rFonts w:ascii="Courier New" w:cs="Courier New" w:hAnsi="Courier New" w:hint="default"/>
      </w:rPr>
    </w:lvl>
    <w:lvl w:ilvl="2">
      <w:start w:val="1"/>
      <w:numFmt w:val="bullet"/>
      <w:lvlText w:val=""/>
      <w:lvlJc w:val="left"/>
      <w:pPr>
        <w:ind w:hanging="360" w:left="2520"/>
      </w:pPr>
      <w:rPr>
        <w:rFonts w:ascii="Wingdings" w:cs="Wingdings" w:hAnsi="Wingdings" w:hint="default"/>
      </w:rPr>
    </w:lvl>
    <w:lvl w:ilvl="3">
      <w:start w:val="1"/>
      <w:numFmt w:val="bullet"/>
      <w:lvlText w:val=""/>
      <w:lvlJc w:val="left"/>
      <w:pPr>
        <w:ind w:hanging="360" w:left="3240"/>
      </w:pPr>
      <w:rPr>
        <w:rFonts w:ascii="Symbol" w:cs="Symbol" w:hAnsi="Symbol" w:hint="default"/>
      </w:rPr>
    </w:lvl>
    <w:lvl w:ilvl="4">
      <w:start w:val="1"/>
      <w:numFmt w:val="bullet"/>
      <w:lvlText w:val="o"/>
      <w:lvlJc w:val="left"/>
      <w:pPr>
        <w:ind w:hanging="360" w:left="3960"/>
      </w:pPr>
      <w:rPr>
        <w:rFonts w:ascii="Courier New" w:cs="Courier New" w:hAnsi="Courier New" w:hint="default"/>
      </w:rPr>
    </w:lvl>
    <w:lvl w:ilvl="5">
      <w:start w:val="1"/>
      <w:numFmt w:val="bullet"/>
      <w:lvlText w:val=""/>
      <w:lvlJc w:val="left"/>
      <w:pPr>
        <w:ind w:hanging="360" w:left="4680"/>
      </w:pPr>
      <w:rPr>
        <w:rFonts w:ascii="Wingdings" w:cs="Wingdings" w:hAnsi="Wingdings" w:hint="default"/>
      </w:rPr>
    </w:lvl>
    <w:lvl w:ilvl="6">
      <w:start w:val="1"/>
      <w:numFmt w:val="bullet"/>
      <w:lvlText w:val=""/>
      <w:lvlJc w:val="left"/>
      <w:pPr>
        <w:ind w:hanging="360" w:left="5400"/>
      </w:pPr>
      <w:rPr>
        <w:rFonts w:ascii="Symbol" w:cs="Symbol" w:hAnsi="Symbol" w:hint="default"/>
      </w:rPr>
    </w:lvl>
    <w:lvl w:ilvl="7">
      <w:start w:val="1"/>
      <w:numFmt w:val="bullet"/>
      <w:lvlText w:val="o"/>
      <w:lvlJc w:val="left"/>
      <w:pPr>
        <w:ind w:hanging="360" w:left="6120"/>
      </w:pPr>
      <w:rPr>
        <w:rFonts w:ascii="Courier New" w:cs="Courier New" w:hAnsi="Courier New" w:hint="default"/>
      </w:rPr>
    </w:lvl>
    <w:lvl w:ilvl="8">
      <w:start w:val="1"/>
      <w:numFmt w:val="bullet"/>
      <w:lvlText w:val=""/>
      <w:lvlJc w:val="left"/>
      <w:pPr>
        <w:ind w:hanging="360" w:left="6840"/>
      </w:pPr>
      <w:rPr>
        <w:rFonts w:ascii="Wingdings" w:cs="Wingdings" w:hAnsi="Wingdings" w:hint="default"/>
      </w:rPr>
    </w:lvl>
  </w:abstractNum>
  <w:num w:numId="1">
    <w:abstractNumId w:val="1"/>
  </w:num>
  <w:num w:numId="2">
    <w:abstractNumId w:val="2"/>
  </w:num>
  <w:num w:numId="3">
    <w:abstractNumId w:val="3"/>
  </w:num>
</w:numbering>
</file>

<file path=word/styles.xml><?xml version="1.0" encoding="utf-8"?>
<w:styles xmlns:w="http://schemas.openxmlformats.org/wordprocessingml/2006/main">
  <w:style w:styleId="style0" w:type="paragraph">
    <w:name w:val="Normal"/>
    <w:next w:val="style0"/>
    <w:pPr>
      <w:widowControl/>
      <w:tabs>
        <w:tab w:leader="none" w:pos="720" w:val="left"/>
      </w:tabs>
      <w:suppressAutoHyphens w:val="true"/>
    </w:pPr>
    <w:rPr>
      <w:rFonts w:ascii="Cambria" w:cs="" w:eastAsia="Droid Sans Fallback" w:hAnsi="Cambria"/>
      <w:color w:val="00000A"/>
      <w:sz w:val="24"/>
      <w:szCs w:val="24"/>
      <w:lang w:bidi="ar-SA" w:eastAsia="en-US" w:val="fr-CA"/>
    </w:rPr>
  </w:style>
  <w:style w:styleId="style1" w:type="paragraph">
    <w:name w:val="Heading 1"/>
    <w:basedOn w:val="style33"/>
    <w:next w:val="style34"/>
    <w:pPr/>
    <w:rPr>
      <w:b/>
      <w:bCs/>
      <w:sz w:val="32"/>
      <w:szCs w:val="32"/>
    </w:rPr>
  </w:style>
  <w:style w:styleId="style3" w:type="paragraph">
    <w:name w:val="Heading 3"/>
    <w:basedOn w:val="style33"/>
    <w:next w:val="style34"/>
    <w:pPr>
      <w:numPr>
        <w:ilvl w:val="2"/>
        <w:numId w:val="1"/>
      </w:numPr>
      <w:outlineLvl w:val="2"/>
    </w:pPr>
    <w:rPr>
      <w:b/>
      <w:bCs/>
      <w:sz w:val="28"/>
      <w:szCs w:val="28"/>
    </w:rPr>
  </w:style>
  <w:style w:styleId="style4" w:type="paragraph">
    <w:name w:val="Heading 4"/>
    <w:basedOn w:val="style33"/>
    <w:next w:val="style34"/>
    <w:pPr>
      <w:numPr>
        <w:ilvl w:val="3"/>
        <w:numId w:val="1"/>
      </w:numPr>
      <w:outlineLvl w:val="3"/>
    </w:pPr>
    <w:rPr>
      <w:b/>
      <w:bCs/>
      <w:i/>
      <w:iCs/>
      <w:sz w:val="24"/>
      <w:szCs w:val="24"/>
    </w:rPr>
  </w:style>
  <w:style w:styleId="style5" w:type="paragraph">
    <w:name w:val="Heading 5"/>
    <w:basedOn w:val="style33"/>
    <w:next w:val="style34"/>
    <w:pPr>
      <w:numPr>
        <w:ilvl w:val="4"/>
        <w:numId w:val="1"/>
      </w:numPr>
      <w:outlineLvl w:val="4"/>
    </w:pPr>
    <w:rPr>
      <w:b/>
      <w:bCs/>
      <w:sz w:val="24"/>
      <w:szCs w:val="24"/>
    </w:rPr>
  </w:style>
  <w:style w:styleId="style6" w:type="paragraph">
    <w:name w:val="Heading 6"/>
    <w:basedOn w:val="style33"/>
    <w:next w:val="style34"/>
    <w:pPr>
      <w:numPr>
        <w:ilvl w:val="5"/>
        <w:numId w:val="1"/>
      </w:numPr>
      <w:outlineLvl w:val="5"/>
    </w:pPr>
    <w:rPr>
      <w:b/>
      <w:bCs/>
      <w:sz w:val="21"/>
      <w:szCs w:val="21"/>
    </w:rPr>
  </w:style>
  <w:style w:styleId="style7" w:type="paragraph">
    <w:name w:val="Heading 7"/>
    <w:basedOn w:val="style33"/>
    <w:next w:val="style34"/>
    <w:pPr>
      <w:numPr>
        <w:ilvl w:val="6"/>
        <w:numId w:val="1"/>
      </w:numPr>
      <w:outlineLvl w:val="6"/>
    </w:pPr>
    <w:rPr>
      <w:b/>
      <w:bCs/>
      <w:sz w:val="21"/>
      <w:szCs w:val="21"/>
    </w:rPr>
  </w:style>
  <w:style w:styleId="style15" w:type="character">
    <w:name w:val="Default Paragraph Font"/>
    <w:next w:val="style15"/>
    <w:rPr/>
  </w:style>
  <w:style w:styleId="style16" w:type="character">
    <w:name w:val="Pied de page Car"/>
    <w:basedOn w:val="style15"/>
    <w:next w:val="style16"/>
    <w:rPr/>
  </w:style>
  <w:style w:styleId="style17" w:type="character">
    <w:name w:val="page number"/>
    <w:basedOn w:val="style15"/>
    <w:next w:val="style17"/>
    <w:rPr/>
  </w:style>
  <w:style w:styleId="style18" w:type="character">
    <w:name w:val="annotation reference"/>
    <w:basedOn w:val="style15"/>
    <w:next w:val="style18"/>
    <w:rPr>
      <w:sz w:val="18"/>
      <w:szCs w:val="18"/>
    </w:rPr>
  </w:style>
  <w:style w:styleId="style19" w:type="character">
    <w:name w:val="Commentaire Car"/>
    <w:basedOn w:val="style15"/>
    <w:next w:val="style19"/>
    <w:rPr/>
  </w:style>
  <w:style w:styleId="style20" w:type="character">
    <w:name w:val="Objet du commentaire Car"/>
    <w:basedOn w:val="style19"/>
    <w:next w:val="style20"/>
    <w:rPr>
      <w:b/>
      <w:bCs/>
      <w:sz w:val="20"/>
      <w:szCs w:val="20"/>
    </w:rPr>
  </w:style>
  <w:style w:styleId="style21" w:type="character">
    <w:name w:val="Texte de bulles Car"/>
    <w:basedOn w:val="style15"/>
    <w:next w:val="style21"/>
    <w:rPr>
      <w:rFonts w:ascii="Lucida Grande" w:cs="Lucida Grande" w:hAnsi="Lucida Grande"/>
      <w:sz w:val="18"/>
      <w:szCs w:val="18"/>
    </w:rPr>
  </w:style>
  <w:style w:styleId="style22" w:type="character">
    <w:name w:val="Note de bas de page Car"/>
    <w:basedOn w:val="style15"/>
    <w:next w:val="style22"/>
    <w:rPr/>
  </w:style>
  <w:style w:styleId="style23" w:type="character">
    <w:name w:val="footnote reference"/>
    <w:basedOn w:val="style15"/>
    <w:next w:val="style23"/>
    <w:rPr>
      <w:vertAlign w:val="superscript"/>
    </w:rPr>
  </w:style>
  <w:style w:styleId="style24" w:type="character">
    <w:name w:val="Internet Link"/>
    <w:basedOn w:val="style15"/>
    <w:next w:val="style24"/>
    <w:rPr>
      <w:color w:val="0000FF"/>
      <w:u w:val="single"/>
      <w:lang w:bidi="en-US" w:eastAsia="en-US" w:val="en-US"/>
    </w:rPr>
  </w:style>
  <w:style w:styleId="style25" w:type="character">
    <w:name w:val="FollowedHyperlink"/>
    <w:basedOn w:val="style15"/>
    <w:next w:val="style25"/>
    <w:rPr>
      <w:color w:val="800080"/>
      <w:u w:val="single"/>
    </w:rPr>
  </w:style>
  <w:style w:styleId="style26" w:type="character">
    <w:name w:val="En-tête Car"/>
    <w:basedOn w:val="style15"/>
    <w:next w:val="style26"/>
    <w:rPr/>
  </w:style>
  <w:style w:styleId="style27" w:type="character">
    <w:name w:val="ListLabel 1"/>
    <w:next w:val="style27"/>
    <w:rPr>
      <w:rFonts w:cs=""/>
    </w:rPr>
  </w:style>
  <w:style w:styleId="style28" w:type="character">
    <w:name w:val="ListLabel 2"/>
    <w:next w:val="style28"/>
    <w:rPr>
      <w:rFonts w:cs="Courier New"/>
    </w:rPr>
  </w:style>
  <w:style w:styleId="style29" w:type="character">
    <w:name w:val="Bullets"/>
    <w:next w:val="style29"/>
    <w:rPr>
      <w:rFonts w:ascii="OpenSymbol" w:cs="OpenSymbol" w:eastAsia="OpenSymbol" w:hAnsi="OpenSymbol"/>
    </w:rPr>
  </w:style>
  <w:style w:styleId="style30" w:type="character">
    <w:name w:val="ListLabel 3"/>
    <w:next w:val="style30"/>
    <w:rPr>
      <w:rFonts w:cs="Symbol"/>
    </w:rPr>
  </w:style>
  <w:style w:styleId="style31" w:type="character">
    <w:name w:val="ListLabel 4"/>
    <w:next w:val="style31"/>
    <w:rPr>
      <w:rFonts w:cs="Courier New"/>
    </w:rPr>
  </w:style>
  <w:style w:styleId="style32" w:type="character">
    <w:name w:val="ListLabel 5"/>
    <w:next w:val="style32"/>
    <w:rPr>
      <w:rFonts w:cs="Wingdings"/>
    </w:rPr>
  </w:style>
  <w:style w:styleId="style33" w:type="paragraph">
    <w:name w:val="Heading"/>
    <w:basedOn w:val="style0"/>
    <w:next w:val="style34"/>
    <w:pPr>
      <w:keepNext/>
      <w:spacing w:after="120" w:before="240"/>
    </w:pPr>
    <w:rPr>
      <w:rFonts w:ascii="Arial" w:cs="Lohit Hindi" w:eastAsia="Droid Sans Fallback" w:hAnsi="Arial"/>
      <w:sz w:val="28"/>
      <w:szCs w:val="28"/>
    </w:rPr>
  </w:style>
  <w:style w:styleId="style34" w:type="paragraph">
    <w:name w:val="Text body"/>
    <w:basedOn w:val="style0"/>
    <w:next w:val="style34"/>
    <w:pPr>
      <w:spacing w:after="120" w:before="0"/>
    </w:pPr>
    <w:rPr/>
  </w:style>
  <w:style w:styleId="style35" w:type="paragraph">
    <w:name w:val="List"/>
    <w:basedOn w:val="style34"/>
    <w:next w:val="style35"/>
    <w:pPr/>
    <w:rPr>
      <w:rFonts w:cs="Lohit Hindi"/>
    </w:rPr>
  </w:style>
  <w:style w:styleId="style36" w:type="paragraph">
    <w:name w:val="Caption"/>
    <w:basedOn w:val="style0"/>
    <w:next w:val="style36"/>
    <w:pPr>
      <w:suppressLineNumbers/>
      <w:spacing w:after="120" w:before="120"/>
    </w:pPr>
    <w:rPr>
      <w:rFonts w:cs="Lohit Hindi"/>
      <w:i/>
      <w:iCs/>
      <w:sz w:val="24"/>
      <w:szCs w:val="24"/>
    </w:rPr>
  </w:style>
  <w:style w:styleId="style37" w:type="paragraph">
    <w:name w:val="Index"/>
    <w:basedOn w:val="style0"/>
    <w:next w:val="style37"/>
    <w:pPr>
      <w:suppressLineNumbers/>
    </w:pPr>
    <w:rPr>
      <w:rFonts w:cs="Lohit Hindi"/>
    </w:rPr>
  </w:style>
  <w:style w:styleId="style38" w:type="paragraph">
    <w:name w:val="Footer"/>
    <w:basedOn w:val="style0"/>
    <w:next w:val="style38"/>
    <w:pPr>
      <w:suppressLineNumbers/>
      <w:tabs>
        <w:tab w:leader="none" w:pos="4153" w:val="center"/>
        <w:tab w:leader="none" w:pos="8306" w:val="right"/>
      </w:tabs>
    </w:pPr>
    <w:rPr/>
  </w:style>
  <w:style w:styleId="style39" w:type="paragraph">
    <w:name w:val="annotation text"/>
    <w:basedOn w:val="style0"/>
    <w:next w:val="style39"/>
    <w:pPr/>
    <w:rPr/>
  </w:style>
  <w:style w:styleId="style40" w:type="paragraph">
    <w:name w:val="annotation subject"/>
    <w:basedOn w:val="style39"/>
    <w:next w:val="style40"/>
    <w:pPr/>
    <w:rPr>
      <w:b/>
      <w:bCs/>
      <w:sz w:val="20"/>
      <w:szCs w:val="20"/>
    </w:rPr>
  </w:style>
  <w:style w:styleId="style41" w:type="paragraph">
    <w:name w:val="Balloon Text"/>
    <w:basedOn w:val="style0"/>
    <w:next w:val="style41"/>
    <w:pPr/>
    <w:rPr>
      <w:rFonts w:ascii="Lucida Grande" w:cs="Lucida Grande" w:hAnsi="Lucida Grande"/>
      <w:sz w:val="18"/>
      <w:szCs w:val="18"/>
    </w:rPr>
  </w:style>
  <w:style w:styleId="style42" w:type="paragraph">
    <w:name w:val="footnote text"/>
    <w:basedOn w:val="style0"/>
    <w:next w:val="style42"/>
    <w:pPr/>
    <w:rPr/>
  </w:style>
  <w:style w:styleId="style43" w:type="paragraph">
    <w:name w:val="List Paragraph"/>
    <w:basedOn w:val="style0"/>
    <w:next w:val="style43"/>
    <w:pPr>
      <w:ind w:hanging="0" w:left="720" w:right="0"/>
    </w:pPr>
    <w:rPr/>
  </w:style>
  <w:style w:styleId="style44" w:type="paragraph">
    <w:name w:val="Header"/>
    <w:basedOn w:val="style0"/>
    <w:next w:val="style44"/>
    <w:pPr>
      <w:suppressLineNumbers/>
      <w:tabs>
        <w:tab w:leader="none" w:pos="4536" w:val="center"/>
        <w:tab w:leader="none" w:pos="9072" w:val="right"/>
      </w:tabs>
    </w:pPr>
    <w:rPr/>
  </w:style>
  <w:style w:styleId="style45" w:type="paragraph">
    <w:name w:val="Quotations"/>
    <w:basedOn w:val="style0"/>
    <w:next w:val="style45"/>
    <w:pPr>
      <w:spacing w:after="283" w:before="0"/>
      <w:ind w:hanging="0" w:left="567" w:right="56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hyperlink" Target="http://www.mddep.gouv.qc.ca/eau/rives/richesse/index-en.htm" TargetMode="External"/><Relationship Id="rId18" Type="http://schemas.openxmlformats.org/officeDocument/2006/relationships/hyperlink" Target="http://www.pac.dfo-mpo.gc.ca/habitat/reveg/index-eng.htm\" TargetMode="External"/><Relationship Id="rId19" Type="http://schemas.openxmlformats.org/officeDocument/2006/relationships/hyperlink" Target="http://water.epa.gov/type/lakes/shoreland.cfm" TargetMode="External"/><Relationship Id="rId20" Type="http://schemas.openxmlformats.org/officeDocument/2006/relationships/hyperlink" Target="http://files.dnr.state.mn.us/assistance/backyard/shorelandmgmt/savewateredge.pdf" TargetMode="External"/><Relationship Id="rId21" Type="http://schemas.openxmlformats.org/officeDocument/2006/relationships/hyperlink" Target="http://www.mnr.gov.on.ca/en/Business/Biodiversity/2ColumnSubPage/STDPROD_070619.html" TargetMode="External"/><Relationship Id="rId22" Type="http://schemas.openxmlformats.org/officeDocument/2006/relationships/hyperlink" Target="http://www.hww.ca/en/where-they-live/wetlands.html" TargetMode="External"/><Relationship Id="rId23" Type="http://schemas.openxmlformats.org/officeDocument/2006/relationships/hyperlink" Target="http://www.ecy.wa.gov/programs/wq/plants/weeds/milfoil.html" TargetMode="External"/><Relationship Id="rId24" Type="http://schemas.openxmlformats.org/officeDocument/2006/relationships/hyperlink" Target="http://www.ct.gov/caes/cwp/view.asp?a=2799&amp;Q=459890&amp;caesNav=|" TargetMode="External"/><Relationship Id="rId25" Type="http://schemas.openxmlformats.org/officeDocument/2006/relationships/hyperlink" Target="http://www.nps.gov/plants/alien/pubs/midatlantic/mysp.htm" TargetMode="External"/><Relationship Id="rId26" Type="http://schemas.openxmlformats.org/officeDocument/2006/relationships/hyperlink" Target="http://www.hww.ca/en/species/mammals/beaver.html" TargetMode="External"/><Relationship Id="rId27" Type="http://schemas.openxmlformats.org/officeDocument/2006/relationships/hyperlink" Target="http://www.mnr.gov.on.ca/en/Business/Water/2ColumnSubPage/STEL02_165454.html" TargetMode="External"/><Relationship Id="rId28" Type="http://schemas.openxmlformats.org/officeDocument/2006/relationships/hyperlink" Target="http://www.grwa.ca/mnr_docs/MNR Extension Notes/ShorelineBuffers.pdf" TargetMode="External"/><Relationship Id="rId29" Type="http://schemas.openxmlformats.org/officeDocument/2006/relationships/hyperlink" Target="http://www.grwa.ca/mnr_docs/MNR Extension Notes/Preserving and Restoring NaturalShorelines.pdf" TargetMode="External"/><Relationship Id="rId30" Type="http://schemas.openxmlformats.org/officeDocument/2006/relationships/hyperlink" Target="http://www.anr.state.vt.us/dec/waterq/lakes/docs/lpseries/lp_lpseries3b.pdf" TargetMode="External"/><Relationship Id="rId31" Type="http://schemas.openxmlformats.org/officeDocument/2006/relationships/numbering" Target="numbering.xml"/><Relationship Id="rId32"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Normal.dotm</Template>
  <TotalTime>62</TotalTime>
  <Application>Microsoft Macintosh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2014-12-27T18:49:00.00Z</dcterms:created>
  <dc:creator>Christiane Dufresne</dc:creator>
  <cp:lastModifiedBy>Michèle Laliberté</cp:lastModifiedBy>
  <cp:lastPrinted>2014-12-27T20:45:00.00Z</cp:lastPrinted>
  <dcterms:modified xsi:type="dcterms:W3CDTF">2014-12-28T15:13:00.00Z</dcterms:modified>
  <cp:revision>49</cp:revision>
</cp:coreProperties>
</file>